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7"/>
        <w:gridCol w:w="5387"/>
        <w:tblGridChange w:id="0">
          <w:tblGrid>
            <w:gridCol w:w="366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AUDITORÍA</w:t>
            </w:r>
            <w:r w:rsidDel="00000000" w:rsidR="00000000" w:rsidRPr="00000000">
              <w:rPr>
                <w:rtl w:val="0"/>
              </w:rPr>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b w:val="1"/>
              </w:rPr>
            </w:pPr>
            <w:r w:rsidDel="00000000" w:rsidR="00000000" w:rsidRPr="00000000">
              <w:rPr>
                <w:rFonts w:ascii="Arial" w:cs="Arial" w:eastAsia="Arial" w:hAnsi="Arial"/>
                <w:rtl w:val="0"/>
              </w:rPr>
              <w:t xml:space="preserve">Proceso Adquisición de Bienes y Servicios (Decreto 371-2010)</w:t>
            </w:r>
            <w:r w:rsidDel="00000000" w:rsidR="00000000" w:rsidRPr="00000000">
              <w:rPr>
                <w:rtl w:val="0"/>
              </w:rPr>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AUDITORÍA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2</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5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05"/>
        <w:gridCol w:w="6615"/>
        <w:gridCol w:w="105"/>
        <w:tblGridChange w:id="0">
          <w:tblGrid>
            <w:gridCol w:w="2715"/>
            <w:gridCol w:w="105"/>
            <w:gridCol w:w="6615"/>
            <w:gridCol w:w="10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gridSpan w:val="2"/>
            <w:vAlign w:val="center"/>
          </w:tcPr>
          <w:p w:rsidR="00000000" w:rsidDel="00000000" w:rsidP="00000000" w:rsidRDefault="00000000" w:rsidRPr="00000000" w14:paraId="00000009">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Equipo Auditor</w:t>
            </w:r>
          </w:p>
        </w:tc>
      </w:tr>
      <w:tr>
        <w:trPr>
          <w:cantSplit w:val="0"/>
          <w:trHeight w:val="510" w:hRule="atLeast"/>
          <w:tblHeader w:val="0"/>
        </w:trPr>
        <w:tc>
          <w:tcPr>
            <w:gridSpan w:val="2"/>
          </w:tcPr>
          <w:p w:rsidR="00000000" w:rsidDel="00000000" w:rsidP="00000000" w:rsidRDefault="00000000" w:rsidRPr="00000000" w14:paraId="0000000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gridSpan w:val="2"/>
            <w:vAlign w:val="center"/>
          </w:tcPr>
          <w:p w:rsidR="00000000" w:rsidDel="00000000" w:rsidP="00000000" w:rsidRDefault="00000000" w:rsidRPr="00000000" w14:paraId="0000000E">
            <w:pPr>
              <w:tabs>
                <w:tab w:val="left" w:leader="none" w:pos="1125"/>
              </w:tabs>
              <w:jc w:val="both"/>
              <w:rPr>
                <w:rFonts w:ascii="Arial" w:cs="Arial" w:eastAsia="Arial" w:hAnsi="Arial"/>
                <w:b w:val="1"/>
              </w:rPr>
            </w:pPr>
            <w:r w:rsidDel="00000000" w:rsidR="00000000" w:rsidRPr="00000000">
              <w:rPr>
                <w:rFonts w:ascii="Arial" w:cs="Arial" w:eastAsia="Arial" w:hAnsi="Arial"/>
                <w:rtl w:val="0"/>
              </w:rPr>
              <w:t xml:space="preserve">Verificar la existencia documentada de la metodología para la determinación del presupuesto de cada contrato, y matrices de riesgos previsibles</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0">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gridSpan w:val="2"/>
            <w:vAlign w:val="center"/>
          </w:tcPr>
          <w:p w:rsidR="00000000" w:rsidDel="00000000" w:rsidP="00000000" w:rsidRDefault="00000000" w:rsidRPr="00000000" w14:paraId="00000012">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01 de julio de 2022 al 31 de diciembre de 2022 y 01 de enero de 2023 al 30 de junio de 2023.</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4">
            <w:pPr>
              <w:widowControl w:val="0"/>
              <w:spacing w:line="276"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15">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gridSpan w:val="2"/>
            <w:vAlign w:val="center"/>
          </w:tcPr>
          <w:p w:rsidR="00000000" w:rsidDel="00000000" w:rsidP="00000000" w:rsidRDefault="00000000" w:rsidRPr="00000000" w14:paraId="00000017">
            <w:pPr>
              <w:spacing w:line="235" w:lineRule="auto"/>
              <w:jc w:val="both"/>
              <w:rPr>
                <w:rFonts w:ascii="Arial" w:cs="Arial" w:eastAsia="Arial" w:hAnsi="Arial"/>
              </w:rPr>
            </w:pPr>
            <w:r w:rsidDel="00000000" w:rsidR="00000000" w:rsidRPr="00000000">
              <w:rPr>
                <w:rFonts w:ascii="Arial" w:cs="Arial" w:eastAsia="Arial" w:hAnsi="Arial"/>
                <w:rtl w:val="0"/>
              </w:rPr>
              <w:t xml:space="preserve">El IDRD debe contar con lineamientos relacionados con la metodología para la determinación del presupuesto de cada contrato, de los estudios previos, matrices de riesgos previsibles, funciones y responsabilidades de los interventores y supervisores, mecanismos para su designación de estos.</w:t>
            </w:r>
          </w:p>
          <w:p w:rsidR="00000000" w:rsidDel="00000000" w:rsidP="00000000" w:rsidRDefault="00000000" w:rsidRPr="00000000" w14:paraId="00000018">
            <w:pPr>
              <w:tabs>
                <w:tab w:val="left" w:leader="none" w:pos="1125"/>
              </w:tabs>
              <w:jc w:val="both"/>
              <w:rPr>
                <w:rFonts w:ascii="Arial" w:cs="Arial" w:eastAsia="Arial" w:hAnsi="Arial"/>
                <w:b w:val="1"/>
                <w:color w:val="808080"/>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B">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C">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OCI procedió  a verificar  en cada uno de los procesos de selección objeto de la auditoría, conforme obra el expediente contractual en la Plataforma SECOP II, los documentos que dan cuenta de la metodología utilizada por el instituto para determinar el presupuesto oficial del proceso (Estudios previos, estudios del sector, cotizaciones). </w:t>
            </w:r>
          </w:p>
          <w:p w:rsidR="00000000" w:rsidDel="00000000" w:rsidP="00000000" w:rsidRDefault="00000000" w:rsidRPr="00000000" w14:paraId="0000001D">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Igualmente se verificó para cada uno de los procesos objeto de auditoría la publicación de la matriz de riesgos y su contenido, evidenciando para evidenciar la adecuada formulación y el tratamiento de estos. </w:t>
            </w:r>
          </w:p>
        </w:tc>
      </w:tr>
    </w:tbl>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tl w:val="0"/>
        </w:rPr>
      </w:r>
    </w:p>
    <w:tbl>
      <w:tblPr>
        <w:tblStyle w:val="Table5"/>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21">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5"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Definición del presupuesto de los procesos de selección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spacing w:after="0" w:line="23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35" w:lineRule="auto"/>
        <w:jc w:val="both"/>
        <w:rPr>
          <w:rFonts w:ascii="Arial" w:cs="Arial" w:eastAsia="Arial" w:hAnsi="Arial"/>
        </w:rPr>
      </w:pPr>
      <w:r w:rsidDel="00000000" w:rsidR="00000000" w:rsidRPr="00000000">
        <w:rPr>
          <w:rFonts w:ascii="Arial" w:cs="Arial" w:eastAsia="Arial" w:hAnsi="Arial"/>
          <w:rtl w:val="0"/>
        </w:rPr>
        <w:t xml:space="preserve">Determinación del Presupuesto Oficial: Por parte del equipo auditor se procedió a verificar la existencia de documentación, donde se relaciona la metodología utilizada por el Instituto para determinar el presupuesto oficial del proceso contractual, para lo cual, se consultaron los documentos precontractuales (estudios previos – estudios del sector) donde se trata del asunto, en los estudios del sector de los ciento diez (110) procesos contractuales objeto de auditoría, se encontró el siguiente esquema:</w:t>
      </w:r>
    </w:p>
    <w:p w:rsidR="00000000" w:rsidDel="00000000" w:rsidP="00000000" w:rsidRDefault="00000000" w:rsidRPr="00000000" w14:paraId="00000025">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6">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Identificación del bien y/o servicio</w:t>
      </w:r>
    </w:p>
    <w:p w:rsidR="00000000" w:rsidDel="00000000" w:rsidP="00000000" w:rsidRDefault="00000000" w:rsidRPr="00000000" w14:paraId="00000027">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Objeto a contratar</w:t>
      </w:r>
    </w:p>
    <w:p w:rsidR="00000000" w:rsidDel="00000000" w:rsidP="00000000" w:rsidRDefault="00000000" w:rsidRPr="00000000" w14:paraId="00000028">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Denominación técnica del servicio</w:t>
      </w:r>
    </w:p>
    <w:p w:rsidR="00000000" w:rsidDel="00000000" w:rsidP="00000000" w:rsidRDefault="00000000" w:rsidRPr="00000000" w14:paraId="00000029">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Análisis técnico, regulatorio y de riesgos</w:t>
      </w:r>
    </w:p>
    <w:p w:rsidR="00000000" w:rsidDel="00000000" w:rsidP="00000000" w:rsidRDefault="00000000" w:rsidRPr="00000000" w14:paraId="0000002A">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Análisis financiero y organizacional análisis económico del sector</w:t>
      </w:r>
    </w:p>
    <w:p w:rsidR="00000000" w:rsidDel="00000000" w:rsidP="00000000" w:rsidRDefault="00000000" w:rsidRPr="00000000" w14:paraId="0000002B">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Perspectiva organizacional y económica</w:t>
      </w:r>
    </w:p>
    <w:p w:rsidR="00000000" w:rsidDel="00000000" w:rsidP="00000000" w:rsidRDefault="00000000" w:rsidRPr="00000000" w14:paraId="0000002C">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Estudio de la demanda</w:t>
      </w:r>
    </w:p>
    <w:p w:rsidR="00000000" w:rsidDel="00000000" w:rsidP="00000000" w:rsidRDefault="00000000" w:rsidRPr="00000000" w14:paraId="0000002D">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Acuerdos marco y otros instrumentos de agregación de demanda grandes superficies</w:t>
      </w:r>
    </w:p>
    <w:p w:rsidR="00000000" w:rsidDel="00000000" w:rsidP="00000000" w:rsidRDefault="00000000" w:rsidRPr="00000000" w14:paraId="0000002E">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Comparativo histórico de la entidad</w:t>
      </w:r>
    </w:p>
    <w:p w:rsidR="00000000" w:rsidDel="00000000" w:rsidP="00000000" w:rsidRDefault="00000000" w:rsidRPr="00000000" w14:paraId="0000002F">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Comparativo histórico de otras entidades estudio de la oferta</w:t>
      </w:r>
    </w:p>
    <w:p w:rsidR="00000000" w:rsidDel="00000000" w:rsidP="00000000" w:rsidRDefault="00000000" w:rsidRPr="00000000" w14:paraId="00000030">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Proveedores del bien o servicio</w:t>
      </w:r>
    </w:p>
    <w:p w:rsidR="00000000" w:rsidDel="00000000" w:rsidP="00000000" w:rsidRDefault="00000000" w:rsidRPr="00000000" w14:paraId="00000031">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Estudio de mercado </w:t>
      </w:r>
    </w:p>
    <w:p w:rsidR="00000000" w:rsidDel="00000000" w:rsidP="00000000" w:rsidRDefault="00000000" w:rsidRPr="00000000" w14:paraId="00000032">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Análisis de costos</w:t>
      </w:r>
    </w:p>
    <w:p w:rsidR="00000000" w:rsidDel="00000000" w:rsidP="00000000" w:rsidRDefault="00000000" w:rsidRPr="00000000" w14:paraId="00000033">
      <w:pPr>
        <w:widowControl w:val="0"/>
        <w:numPr>
          <w:ilvl w:val="0"/>
          <w:numId w:val="1"/>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Presupuesto oficial</w:t>
      </w:r>
    </w:p>
    <w:p w:rsidR="00000000" w:rsidDel="00000000" w:rsidP="00000000" w:rsidRDefault="00000000" w:rsidRPr="00000000" w14:paraId="00000034">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los documentos que fueron consultados, se observó que el presupuesto oficial para el proceso obedece a proyecciones adelantadas por parte del área a cargo del proceso contractual, de conformidad con los estudios de costos y demás documentación a efectos de determinar un análisis y definir el presupuesto para el proceso contractual a que haya lugar. </w:t>
      </w:r>
    </w:p>
    <w:p w:rsidR="00000000" w:rsidDel="00000000" w:rsidP="00000000" w:rsidRDefault="00000000" w:rsidRPr="00000000" w14:paraId="0000003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Matriz de riesgos</w:t>
      </w:r>
    </w:p>
    <w:p w:rsidR="00000000" w:rsidDel="00000000" w:rsidP="00000000" w:rsidRDefault="00000000" w:rsidRPr="00000000" w14:paraId="00000038">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cuanto a la Matriz de Riesgos, teniendo en cuenta los aspectos mencionados por Colombia Compra Eficiente-CCE respecto de la Matriz de Riesgos -</w:t>
      </w:r>
      <w:r w:rsidDel="00000000" w:rsidR="00000000" w:rsidRPr="00000000">
        <w:rPr>
          <w:rtl w:val="0"/>
        </w:rPr>
        <w:t xml:space="preserve"> </w:t>
      </w:r>
      <w:r w:rsidDel="00000000" w:rsidR="00000000" w:rsidRPr="00000000">
        <w:rPr>
          <w:rFonts w:ascii="Arial" w:cs="Arial" w:eastAsia="Arial" w:hAnsi="Arial"/>
          <w:rtl w:val="0"/>
        </w:rPr>
        <w:t xml:space="preserve">Manual para la Identificación y Cobertura del Riesgo en los Procesos de Contratación, tomando una muestra de diez (10) procesos contractuales adelantados por el Instituto durante el periodo del alcance de la auditoría, se encuentra lo siguiente:</w:t>
      </w:r>
    </w:p>
    <w:p w:rsidR="00000000" w:rsidDel="00000000" w:rsidP="00000000" w:rsidRDefault="00000000" w:rsidRPr="00000000" w14:paraId="0000003A">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sz w:val="20"/>
          <w:szCs w:val="20"/>
        </w:rPr>
      </w:pPr>
      <w:r w:rsidDel="00000000" w:rsidR="00000000" w:rsidRPr="00000000">
        <w:rPr>
          <w:rtl w:val="0"/>
        </w:rPr>
      </w:r>
    </w:p>
    <w:tbl>
      <w:tblPr>
        <w:tblStyle w:val="Table6"/>
        <w:tblW w:w="9952.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8"/>
        <w:gridCol w:w="2694"/>
        <w:gridCol w:w="2268"/>
        <w:gridCol w:w="1701"/>
        <w:gridCol w:w="1701"/>
        <w:tblGridChange w:id="0">
          <w:tblGrid>
            <w:gridCol w:w="1588"/>
            <w:gridCol w:w="2694"/>
            <w:gridCol w:w="2268"/>
            <w:gridCol w:w="1701"/>
            <w:gridCol w:w="1701"/>
          </w:tblGrid>
        </w:tblGridChange>
      </w:tblGrid>
      <w:tr>
        <w:trPr>
          <w:cantSplit w:val="0"/>
          <w:trHeight w:val="452" w:hRule="atLeast"/>
          <w:tblHeader w:val="1"/>
        </w:trPr>
        <w:tc>
          <w:tcPr>
            <w:shd w:fill="d9d9d9" w:val="cle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57" w:right="-57" w:firstLine="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Proceso</w:t>
            </w:r>
          </w:p>
        </w:tc>
        <w:tc>
          <w:tcPr>
            <w:shd w:fill="d9d9d9"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57" w:right="-57" w:firstLine="0"/>
              <w:jc w:val="center"/>
              <w:rPr>
                <w:rFonts w:ascii="Arial" w:cs="Arial" w:eastAsia="Arial" w:hAnsi="Arial"/>
                <w:b w:val="1"/>
                <w:color w:val="000000"/>
                <w:sz w:val="18"/>
                <w:szCs w:val="18"/>
              </w:rPr>
            </w:pPr>
            <w:r w:rsidDel="00000000" w:rsidR="00000000" w:rsidRPr="00000000">
              <w:rPr>
                <w:rFonts w:ascii="Arial" w:cs="Arial" w:eastAsia="Arial" w:hAnsi="Arial"/>
                <w:color w:val="000000"/>
                <w:sz w:val="16"/>
                <w:szCs w:val="16"/>
                <w:rtl w:val="0"/>
              </w:rPr>
              <w:t xml:space="preserve">Clasificación de (los) riesgo(s) de acuerdo con: Clase, Fuente, Etapa del proceso de contratación, Tipo.</w:t>
            </w:r>
            <w:r w:rsidDel="00000000" w:rsidR="00000000" w:rsidRPr="00000000">
              <w:rPr>
                <w:rtl w:val="0"/>
              </w:rPr>
            </w:r>
          </w:p>
        </w:tc>
        <w:tc>
          <w:tcPr>
            <w:shd w:fill="d9d9d9"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57" w:right="-57" w:firstLine="0"/>
              <w:jc w:val="center"/>
              <w:rPr>
                <w:rFonts w:ascii="Arial" w:cs="Arial" w:eastAsia="Arial" w:hAnsi="Arial"/>
                <w:b w:val="1"/>
                <w:color w:val="000000"/>
                <w:sz w:val="18"/>
                <w:szCs w:val="18"/>
              </w:rPr>
            </w:pPr>
            <w:r w:rsidDel="00000000" w:rsidR="00000000" w:rsidRPr="00000000">
              <w:rPr>
                <w:rFonts w:ascii="Arial" w:cs="Arial" w:eastAsia="Arial" w:hAnsi="Arial"/>
                <w:color w:val="000000"/>
                <w:sz w:val="16"/>
                <w:szCs w:val="16"/>
                <w:rtl w:val="0"/>
              </w:rPr>
              <w:t xml:space="preserve">Valoración y Categoría del riesgo</w:t>
            </w:r>
            <w:r w:rsidDel="00000000" w:rsidR="00000000" w:rsidRPr="00000000">
              <w:rPr>
                <w:rtl w:val="0"/>
              </w:rPr>
            </w:r>
          </w:p>
        </w:tc>
        <w:tc>
          <w:tcPr>
            <w:shd w:fill="d9d9d9"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57" w:right="-57" w:firstLine="0"/>
              <w:jc w:val="center"/>
              <w:rPr>
                <w:rFonts w:ascii="Arial" w:cs="Arial" w:eastAsia="Arial" w:hAnsi="Arial"/>
                <w:b w:val="1"/>
                <w:color w:val="000000"/>
                <w:sz w:val="18"/>
                <w:szCs w:val="18"/>
              </w:rPr>
            </w:pPr>
            <w:r w:rsidDel="00000000" w:rsidR="00000000" w:rsidRPr="00000000">
              <w:rPr>
                <w:rFonts w:ascii="Arial" w:cs="Arial" w:eastAsia="Arial" w:hAnsi="Arial"/>
                <w:color w:val="000000"/>
                <w:sz w:val="16"/>
                <w:szCs w:val="16"/>
                <w:rtl w:val="0"/>
              </w:rPr>
              <w:t xml:space="preserve">Tratamiento del riesgo</w:t>
            </w:r>
            <w:r w:rsidDel="00000000" w:rsidR="00000000" w:rsidRPr="00000000">
              <w:rPr>
                <w:rtl w:val="0"/>
              </w:rPr>
            </w:r>
          </w:p>
        </w:tc>
        <w:tc>
          <w:tcPr>
            <w:shd w:fill="d9d9d9"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ind w:left="-57" w:right="-57" w:firstLine="0"/>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Monitoreo del riesgo</w:t>
            </w:r>
          </w:p>
        </w:tc>
      </w:tr>
      <w:tr>
        <w:trPr>
          <w:cantSplit w:val="0"/>
          <w:trHeight w:val="1519" w:hRule="atLeast"/>
          <w:tblHeader w:val="0"/>
        </w:trPr>
        <w:tc>
          <w:tcPr>
            <w:shd w:fill="auto"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IDRD-DG-LP-001-2023</w:t>
            </w:r>
          </w:p>
        </w:tc>
        <w:tc>
          <w:tcPr>
            <w:shd w:fill="auto" w:val="cle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diecinueve (19) riesgos: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generales, 17 específicos,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 externos, 10 internos,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 en etapa de planeación, 3 en etapa de selección, 6 en ejecución y 2 en contratación.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económicos, 1 jurídico administrativo y financiero, 1 de seguridad de la información y 15 operacionales.</w:t>
            </w:r>
          </w:p>
        </w:tc>
        <w:tc>
          <w:tcPr>
            <w:shd w:fill="auto"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5 improbables, 9 raro, 4 probable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6 mayores, 13 menores</w:t>
            </w:r>
          </w:p>
          <w:p w:rsidR="00000000" w:rsidDel="00000000" w:rsidP="00000000" w:rsidRDefault="00000000" w:rsidRPr="00000000" w14:paraId="0000004A">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6 Medios, 2 Alto, 11 Bajo</w:t>
            </w:r>
          </w:p>
        </w:tc>
        <w:tc>
          <w:tcPr>
            <w:shd w:fill="auto" w:val="cle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19 bajos.</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8 una sola vez, 5 mensual, 4 cada vez que se requiera; 2 diario</w:t>
            </w:r>
          </w:p>
        </w:tc>
      </w:tr>
      <w:tr>
        <w:trPr>
          <w:cantSplit w:val="0"/>
          <w:tblHeader w:val="0"/>
        </w:trPr>
        <w:tc>
          <w:tcPr>
            <w:shd w:fill="auto" w:val="clear"/>
            <w:vAlign w:val="center"/>
          </w:tcPr>
          <w:p w:rsidR="00000000" w:rsidDel="00000000" w:rsidP="00000000" w:rsidRDefault="00000000" w:rsidRPr="00000000" w14:paraId="0000004D">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IDRD-CTO-2789-2023</w:t>
            </w:r>
          </w:p>
        </w:tc>
        <w:tc>
          <w:tcPr>
            <w:shd w:fill="auto" w:val="clea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once (11) riesgos: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 generales, 5 específicos,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 externos, 5 internos,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en etapa de selección, 8 en ejecución y 1 en contratación.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económicos, 2 regulatorios, 2 precontractual; 5 operacionales.</w:t>
            </w:r>
          </w:p>
        </w:tc>
        <w:tc>
          <w:tcPr>
            <w:shd w:fill="auto" w:val="cle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4 improbables, 6 raro, 1 probable</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3 menor 2 moderado 1 mayor 5 insignificante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10 bajos 1 alto</w:t>
            </w:r>
          </w:p>
        </w:tc>
        <w:tc>
          <w:tcPr>
            <w:shd w:fill="auto" w:val="cle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8 bajos, 1 alto, 2 medios</w:t>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6 permanentes, 1 mensual, 2 cuando ocurra, 2 en los plazos del cronograma</w:t>
            </w:r>
          </w:p>
        </w:tc>
      </w:tr>
      <w:tr>
        <w:trPr>
          <w:cantSplit w:val="0"/>
          <w:trHeight w:val="533" w:hRule="atLeast"/>
          <w:tblHeader w:val="0"/>
        </w:trPr>
        <w:tc>
          <w:tcPr>
            <w:shd w:fill="auto" w:val="clear"/>
            <w:vAlign w:val="center"/>
          </w:tcPr>
          <w:p w:rsidR="00000000" w:rsidDel="00000000" w:rsidP="00000000" w:rsidRDefault="00000000" w:rsidRPr="00000000" w14:paraId="00000058">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IDRD-STRD-CD-1226-2023</w:t>
            </w:r>
          </w:p>
        </w:tc>
        <w:tc>
          <w:tcPr>
            <w:shd w:fill="auto" w:val="cle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en etapa de ejecución</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regulatorios 1 operacional</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legales 1 administrativo</w:t>
            </w:r>
          </w:p>
        </w:tc>
        <w:tc>
          <w:tcPr>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1 improbable, 2 raros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2 medio 1 bajo</w:t>
            </w:r>
          </w:p>
        </w:tc>
        <w:tc>
          <w:tcPr>
            <w:shd w:fill="auto"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3 bajos.</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3 permanentes</w:t>
            </w:r>
          </w:p>
        </w:tc>
      </w:tr>
      <w:tr>
        <w:trPr>
          <w:cantSplit w:val="0"/>
          <w:trHeight w:val="824" w:hRule="atLeast"/>
          <w:tblHeader w:val="0"/>
        </w:trPr>
        <w:tc>
          <w:tcPr>
            <w:shd w:fill="auto" w:val="clear"/>
            <w:vAlign w:val="center"/>
          </w:tcPr>
          <w:p w:rsidR="00000000" w:rsidDel="00000000" w:rsidP="00000000" w:rsidRDefault="00000000" w:rsidRPr="00000000" w14:paraId="00000064">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IDRD-SG-SAMC-059-2022</w:t>
            </w:r>
          </w:p>
        </w:tc>
        <w:tc>
          <w:tcPr>
            <w:shd w:fill="auto" w:val="cle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nueve (9) riesgos: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generales, 7 específicos,</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externos, 4 internos,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en etapa de selección, 8 en ejecución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económicos, 2 técnicos, 2 humanos; 3 administrativos</w:t>
            </w:r>
          </w:p>
        </w:tc>
        <w:tc>
          <w:tcPr>
            <w:shd w:fill="auto" w:val="clea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9 improbable</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2 menor 7 moderado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7 medio 2 bajo</w:t>
            </w:r>
          </w:p>
        </w:tc>
        <w:tc>
          <w:tcPr>
            <w:shd w:fill="auto"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9 bajos.</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7 permanentes, 2 mensual</w:t>
            </w:r>
          </w:p>
        </w:tc>
      </w:tr>
      <w:tr>
        <w:trPr>
          <w:cantSplit w:val="0"/>
          <w:trHeight w:val="824" w:hRule="atLeast"/>
          <w:tblHeader w:val="0"/>
        </w:trPr>
        <w:tc>
          <w:tcPr>
            <w:shd w:fill="auto" w:val="clear"/>
            <w:vAlign w:val="center"/>
          </w:tcPr>
          <w:p w:rsidR="00000000" w:rsidDel="00000000" w:rsidP="00000000" w:rsidRDefault="00000000" w:rsidRPr="00000000" w14:paraId="0000006F">
            <w:pPr>
              <w:spacing w:after="0" w:line="240" w:lineRule="auto"/>
              <w:ind w:right="-57"/>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IDRD-STRD-CD-1687-2022</w:t>
            </w:r>
          </w:p>
        </w:tc>
        <w:tc>
          <w:tcPr>
            <w:shd w:fill="auto" w:val="cle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en etapa de ejecución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regulatorios 1 operacional</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legales 1 administrativo</w:t>
            </w:r>
          </w:p>
        </w:tc>
        <w:tc>
          <w:tcPr>
            <w:shd w:fill="auto" w:val="cle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1 improbable, 2 raros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2 medio 1 bajo</w:t>
            </w:r>
          </w:p>
        </w:tc>
        <w:tc>
          <w:tcPr>
            <w:shd w:fill="auto" w:val="cle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3 bajos.</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3 permanentes</w:t>
            </w:r>
          </w:p>
        </w:tc>
      </w:tr>
      <w:tr>
        <w:trPr>
          <w:cantSplit w:val="0"/>
          <w:trHeight w:val="824" w:hRule="atLeast"/>
          <w:tblHeader w:val="0"/>
        </w:trPr>
        <w:tc>
          <w:tcPr>
            <w:shd w:fill="auto" w:val="clear"/>
            <w:vAlign w:val="center"/>
          </w:tcPr>
          <w:p w:rsidR="00000000" w:rsidDel="00000000" w:rsidP="00000000" w:rsidRDefault="00000000" w:rsidRPr="00000000" w14:paraId="0000007B">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IDRD-SG-SAMC-094-2022</w:t>
            </w:r>
          </w:p>
        </w:tc>
        <w:tc>
          <w:tcPr>
            <w:shd w:fill="auto" w:val="cle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nueve (9) riesgos: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 generales, 5 específicos,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externos, 7 internos,</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en etapa de selección, 6 en ejecución y 1 en contratación.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regulatorios 2 precontractual; 6 operacionales.</w:t>
            </w:r>
          </w:p>
        </w:tc>
        <w:tc>
          <w:tcPr>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4 improbables, 4 raro, 1 probable</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3 menores 3 moderados 3 mayor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4 bajos, 3 altos, 1 medio</w:t>
            </w:r>
          </w:p>
        </w:tc>
        <w:tc>
          <w:tcPr>
            <w:shd w:fill="auto" w:val="cle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6 bajos, 2 altos, 1 medios</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7 permanentes, 2 conforme a cronograma</w:t>
            </w:r>
          </w:p>
        </w:tc>
      </w:tr>
      <w:tr>
        <w:trPr>
          <w:cantSplit w:val="0"/>
          <w:trHeight w:val="824" w:hRule="atLeast"/>
          <w:tblHeader w:val="0"/>
        </w:trPr>
        <w:tc>
          <w:tcPr>
            <w:shd w:fill="auto" w:val="clear"/>
            <w:vAlign w:val="center"/>
          </w:tcPr>
          <w:p w:rsidR="00000000" w:rsidDel="00000000" w:rsidP="00000000" w:rsidRDefault="00000000" w:rsidRPr="00000000" w14:paraId="00000086">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IDRD-STRD-CD-2834-2023</w:t>
            </w:r>
          </w:p>
        </w:tc>
        <w:tc>
          <w:tcPr>
            <w:shd w:fill="auto" w:val="cle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en etapa de ejecución</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regulatorios 1 operacional</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legales 1 administrativo</w:t>
            </w:r>
          </w:p>
        </w:tc>
        <w:tc>
          <w:tcPr>
            <w:shd w:fill="auto" w:val="cle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1 improbable, 2 raros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2 medio 1 bajo</w:t>
            </w:r>
          </w:p>
        </w:tc>
        <w:tc>
          <w:tcPr>
            <w:shd w:fill="auto" w:val="cle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3 bajos.</w:t>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3 permanentes</w:t>
            </w:r>
          </w:p>
        </w:tc>
      </w:tr>
      <w:tr>
        <w:trPr>
          <w:cantSplit w:val="0"/>
          <w:trHeight w:val="824" w:hRule="atLeast"/>
          <w:tblHeader w:val="0"/>
        </w:trPr>
        <w:tc>
          <w:tcPr>
            <w:shd w:fill="auto" w:val="clear"/>
            <w:vAlign w:val="center"/>
          </w:tcPr>
          <w:p w:rsidR="00000000" w:rsidDel="00000000" w:rsidP="00000000" w:rsidRDefault="00000000" w:rsidRPr="00000000" w14:paraId="00000092">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IDRD-STRD-CD-2574-2022</w:t>
            </w:r>
          </w:p>
        </w:tc>
        <w:tc>
          <w:tcPr>
            <w:shd w:fill="auto" w:val="clea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en etapa de ejecución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regulatorios 1 operacional</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legales 1 administrativo</w:t>
            </w:r>
          </w:p>
        </w:tc>
        <w:tc>
          <w:tcPr>
            <w:shd w:fill="auto" w:val="clea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1 improbable, 2 raros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2 medio 1 bajo</w:t>
            </w:r>
          </w:p>
        </w:tc>
        <w:tc>
          <w:tcPr>
            <w:shd w:fill="auto" w:val="cle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3 bajos.</w:t>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3 permanentes</w:t>
            </w:r>
          </w:p>
        </w:tc>
      </w:tr>
      <w:tr>
        <w:trPr>
          <w:cantSplit w:val="0"/>
          <w:trHeight w:val="824" w:hRule="atLeast"/>
          <w:tblHeader w:val="0"/>
        </w:trPr>
        <w:tc>
          <w:tcPr>
            <w:shd w:fill="auto" w:val="clear"/>
            <w:vAlign w:val="center"/>
          </w:tcPr>
          <w:p w:rsidR="00000000" w:rsidDel="00000000" w:rsidP="00000000" w:rsidRDefault="00000000" w:rsidRPr="00000000" w14:paraId="0000009E">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IDRD-STRD-CD-2493-2023</w:t>
            </w:r>
          </w:p>
        </w:tc>
        <w:tc>
          <w:tcPr>
            <w:shd w:fill="auto" w:val="clea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en etapa de ejecución</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regulatorios 1 operacional</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legales 1 administrativo</w:t>
            </w:r>
          </w:p>
        </w:tc>
        <w:tc>
          <w:tcPr>
            <w:shd w:fill="auto" w:val="cle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1 improbable, 2 raros</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2 medio 1 bajo</w:t>
            </w:r>
          </w:p>
        </w:tc>
        <w:tc>
          <w:tcPr>
            <w:shd w:fill="auto" w:val="cle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3 bajos.</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3 permanentes</w:t>
            </w:r>
          </w:p>
        </w:tc>
      </w:tr>
      <w:tr>
        <w:trPr>
          <w:cantSplit w:val="0"/>
          <w:trHeight w:val="824" w:hRule="atLeast"/>
          <w:tblHeader w:val="0"/>
        </w:trPr>
        <w:tc>
          <w:tcPr>
            <w:shd w:fill="auto" w:val="clear"/>
            <w:vAlign w:val="center"/>
          </w:tcPr>
          <w:p w:rsidR="00000000" w:rsidDel="00000000" w:rsidP="00000000" w:rsidRDefault="00000000" w:rsidRPr="00000000" w14:paraId="000000AA">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IDRD-SAF-IP-107-2022</w:t>
            </w:r>
          </w:p>
        </w:tc>
        <w:tc>
          <w:tcPr>
            <w:shd w:fill="auto" w:val="clea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nueve (9) riesgos: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 generales, 6 específicos,</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 externos, 3 internos,</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en etapa de selección, 8 en ejecución </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 económicos, 2 técnicos, 2 humanos; 3 administrativos</w:t>
            </w:r>
          </w:p>
        </w:tc>
        <w:tc>
          <w:tcPr>
            <w:shd w:fill="auto" w:val="cle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9 improbable</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2 menor 7 moderado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7 medio 2 bajo</w:t>
            </w:r>
          </w:p>
        </w:tc>
        <w:tc>
          <w:tcPr>
            <w:shd w:fill="auto" w:val="cle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9 bajos.</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7 permanentes, 2 mensual</w:t>
            </w:r>
          </w:p>
        </w:tc>
      </w:tr>
      <w:tr>
        <w:trPr>
          <w:cantSplit w:val="0"/>
          <w:trHeight w:val="824" w:hRule="atLeast"/>
          <w:tblHeader w:val="0"/>
        </w:trPr>
        <w:tc>
          <w:tcPr>
            <w:shd w:fill="auto" w:val="clear"/>
            <w:vAlign w:val="center"/>
          </w:tcPr>
          <w:p w:rsidR="00000000" w:rsidDel="00000000" w:rsidP="00000000" w:rsidRDefault="00000000" w:rsidRPr="00000000" w14:paraId="000000B5">
            <w:pP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IDRD-STRD-CD-0167-2022</w:t>
            </w:r>
          </w:p>
        </w:tc>
        <w:tc>
          <w:tcPr>
            <w:shd w:fill="auto" w:val="cle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 identificaron tres (3) riesgos: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general, 2 específicos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externo, 2 internos</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 en etapa de ejecución, 1 etapa de planeación</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 operacional, 2 financiero 3 social o político</w:t>
            </w:r>
          </w:p>
        </w:tc>
        <w:tc>
          <w:tcPr>
            <w:shd w:fill="auto" w:val="cle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Probabilidad: 2 improbable, 2 raros, 4 probable, 1 posible</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Impacto: 1 menor 2 moderado </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Categoría: 3 moderado 2 catastrófico, 2 mayor, 2 insignificante</w:t>
            </w:r>
          </w:p>
        </w:tc>
        <w:tc>
          <w:tcPr>
            <w:shd w:fill="auto" w:val="clea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Riesgos quedaron categorizados después del tratamiento como: 6 bajos, 3 altos</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57" w:right="-57"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 periodicidad de monitoreo de los riesgos corresponde a: 5 permanentes, 3 según ocasión 1 precontractual</w:t>
            </w:r>
          </w:p>
        </w:tc>
      </w:tr>
    </w:tbl>
    <w:p w:rsidR="00000000" w:rsidDel="00000000" w:rsidP="00000000" w:rsidRDefault="00000000" w:rsidRPr="00000000" w14:paraId="000000C0">
      <w:pPr>
        <w:spacing w:after="0" w:line="240"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Fuente</w:t>
      </w:r>
      <w:r w:rsidDel="00000000" w:rsidR="00000000" w:rsidRPr="00000000">
        <w:rPr>
          <w:rFonts w:ascii="Arial" w:cs="Arial" w:eastAsia="Arial" w:hAnsi="Arial"/>
          <w:sz w:val="16"/>
          <w:szCs w:val="16"/>
          <w:rtl w:val="0"/>
        </w:rPr>
        <w:t xml:space="preserve">: Información tomada del SECOP de los procesos contractuales de referencia.</w:t>
      </w:r>
    </w:p>
    <w:p w:rsidR="00000000" w:rsidDel="00000000" w:rsidP="00000000" w:rsidRDefault="00000000" w:rsidRPr="00000000" w14:paraId="000000C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2">
      <w:pPr>
        <w:spacing w:after="0" w:line="240" w:lineRule="auto"/>
        <w:jc w:val="both"/>
        <w:rPr>
          <w:rFonts w:ascii="Arial" w:cs="Arial" w:eastAsia="Arial" w:hAnsi="Arial"/>
        </w:rPr>
      </w:pPr>
      <w:r w:rsidDel="00000000" w:rsidR="00000000" w:rsidRPr="00000000">
        <w:rPr>
          <w:rFonts w:ascii="Arial" w:cs="Arial" w:eastAsia="Arial" w:hAnsi="Arial"/>
          <w:rtl w:val="0"/>
        </w:rPr>
        <w:t xml:space="preserve">De otra parte, se observó en el sistema de información ISOLUCION, que el Instituto estableció el procedimiento denominado </w:t>
      </w:r>
      <w:r w:rsidDel="00000000" w:rsidR="00000000" w:rsidRPr="00000000">
        <w:rPr>
          <w:rFonts w:ascii="Arial" w:cs="Arial" w:eastAsia="Arial" w:hAnsi="Arial"/>
          <w:i w:val="1"/>
          <w:rtl w:val="0"/>
        </w:rPr>
        <w:t xml:space="preserve">“Elaboración de Análisis de Costos, conforme obra publicación en su versión 3 del 05 de abril de 2022”</w:t>
      </w:r>
      <w:r w:rsidDel="00000000" w:rsidR="00000000" w:rsidRPr="00000000">
        <w:rPr>
          <w:rFonts w:ascii="Arial" w:cs="Arial" w:eastAsia="Arial" w:hAnsi="Arial"/>
          <w:rtl w:val="0"/>
        </w:rPr>
        <w:t xml:space="preserve"> en el contenido se relaciona las actividades y métodos a ser utilizados, a efectos de estructurar el análisis de costos necesario para adelantar las modalidades de selección de contratación por parte del IDRD.</w:t>
      </w:r>
    </w:p>
    <w:p w:rsidR="00000000" w:rsidDel="00000000" w:rsidP="00000000" w:rsidRDefault="00000000" w:rsidRPr="00000000" w14:paraId="000000C3">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4">
      <w:pPr>
        <w:spacing w:after="0" w:line="240" w:lineRule="auto"/>
        <w:jc w:val="both"/>
        <w:rPr>
          <w:rFonts w:ascii="Arial" w:cs="Arial" w:eastAsia="Arial" w:hAnsi="Arial"/>
          <w:b w:val="1"/>
          <w:u w:val="single"/>
        </w:rPr>
      </w:pPr>
      <w:r w:rsidDel="00000000" w:rsidR="00000000" w:rsidRPr="00000000">
        <w:rPr>
          <w:rtl w:val="0"/>
        </w:rPr>
      </w:r>
    </w:p>
    <w:tbl>
      <w:tblPr>
        <w:tblStyle w:val="Table7"/>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C5">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0C6">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 pudo verificar que, para los procesos contractuales revisados, la matriz de riesgo establecida acoge las pautas definidas por CCE en cuanto a Clasificación, valoración, tratamiento y monitoreo de los riesgos.</w:t>
      </w:r>
    </w:p>
    <w:p w:rsidR="00000000" w:rsidDel="00000000" w:rsidP="00000000" w:rsidRDefault="00000000" w:rsidRPr="00000000" w14:paraId="000000C7">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Se dio aplicación a metodología para establecer el presupuesto oficial, atendiendo lo señalado en el numeral dos del artículo 2° del Decreto 371 de 2010.</w:t>
      </w:r>
    </w:p>
    <w:p w:rsidR="00000000" w:rsidDel="00000000" w:rsidP="00000000" w:rsidRDefault="00000000" w:rsidRPr="00000000" w14:paraId="000000C9">
      <w:pPr>
        <w:spacing w:after="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spacing w:after="0" w:line="240" w:lineRule="auto"/>
        <w:jc w:val="both"/>
        <w:rPr>
          <w:rFonts w:ascii="Arial" w:cs="Arial" w:eastAsia="Arial" w:hAnsi="Arial"/>
          <w:b w:val="1"/>
          <w:u w:val="single"/>
        </w:rPr>
      </w:pPr>
      <w:bookmarkStart w:colFirst="0" w:colLast="0" w:name="_heading=h.gjdgxs" w:id="0"/>
      <w:bookmarkEnd w:id="0"/>
      <w:r w:rsidDel="00000000" w:rsidR="00000000" w:rsidRPr="00000000">
        <w:rPr>
          <w:rtl w:val="0"/>
        </w:rPr>
      </w:r>
    </w:p>
    <w:tbl>
      <w:tblPr>
        <w:tblStyle w:val="Table8"/>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0CB">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0CC">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D">
      <w:pPr>
        <w:spacing w:after="0" w:line="240" w:lineRule="auto"/>
        <w:jc w:val="both"/>
        <w:rPr>
          <w:rFonts w:ascii="Arial" w:cs="Arial" w:eastAsia="Arial" w:hAnsi="Arial"/>
        </w:rPr>
      </w:pPr>
      <w:r w:rsidDel="00000000" w:rsidR="00000000" w:rsidRPr="00000000">
        <w:rPr>
          <w:rFonts w:ascii="Arial" w:cs="Arial" w:eastAsia="Arial" w:hAnsi="Arial"/>
          <w:rtl w:val="0"/>
        </w:rPr>
        <w:t xml:space="preserve">En los procesos contractuales que fueron revisados, se encontró que existe una conformación integral de los temas; técnico financiero y jurídico, respecto de la evaluación que fueron efectuadas a las propuestas presentadas dentro de los procesos de selección contractual que fueron realizados por el IDRD, dentro del periodo del alcance de la presente auditoría. </w:t>
      </w:r>
    </w:p>
    <w:p w:rsidR="00000000" w:rsidDel="00000000" w:rsidP="00000000" w:rsidRDefault="00000000" w:rsidRPr="00000000" w14:paraId="000000CE">
      <w:pPr>
        <w:spacing w:after="0" w:line="240" w:lineRule="auto"/>
        <w:jc w:val="both"/>
        <w:rPr>
          <w:rFonts w:ascii="Arial" w:cs="Arial" w:eastAsia="Arial" w:hAnsi="Arial"/>
          <w:b w:val="1"/>
          <w:color w:val="808080"/>
          <w:u w:val="single"/>
        </w:rPr>
      </w:pPr>
      <w:r w:rsidDel="00000000" w:rsidR="00000000" w:rsidRPr="00000000">
        <w:rPr>
          <w:rtl w:val="0"/>
        </w:rPr>
      </w:r>
    </w:p>
    <w:tbl>
      <w:tblPr>
        <w:tblStyle w:val="Table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CF">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0D0">
      <w:pPr>
        <w:spacing w:after="0" w:before="240" w:line="276"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generen valor agregado a la gestión del proceso dentro del periodo auditado.</w:t>
      </w:r>
      <w:r w:rsidDel="00000000" w:rsidR="00000000" w:rsidRPr="00000000">
        <w:rPr>
          <w:rtl w:val="0"/>
        </w:rPr>
      </w:r>
    </w:p>
    <w:p w:rsidR="00000000" w:rsidDel="00000000" w:rsidP="00000000" w:rsidRDefault="00000000" w:rsidRPr="00000000" w14:paraId="000000D1">
      <w:pPr>
        <w:spacing w:after="0" w:line="240" w:lineRule="auto"/>
        <w:jc w:val="both"/>
        <w:rPr>
          <w:rFonts w:ascii="Arial" w:cs="Arial" w:eastAsia="Arial" w:hAnsi="Arial"/>
          <w:b w:val="1"/>
        </w:rPr>
      </w:pPr>
      <w:r w:rsidDel="00000000" w:rsidR="00000000" w:rsidRPr="00000000">
        <w:rPr>
          <w:rtl w:val="0"/>
        </w:rPr>
      </w:r>
    </w:p>
    <w:tbl>
      <w:tblPr>
        <w:tblStyle w:val="Table10"/>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D2">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0D3">
      <w:pPr>
        <w:spacing w:after="0" w:before="240" w:line="276"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generen valor agregado a la gestión del proceso</w:t>
      </w:r>
      <w:r w:rsidDel="00000000" w:rsidR="00000000" w:rsidRPr="00000000">
        <w:rPr>
          <w:rFonts w:ascii="Arial" w:cs="Arial" w:eastAsia="Arial" w:hAnsi="Arial"/>
          <w:b w:val="1"/>
          <w:color w:val="808080"/>
          <w:rtl w:val="0"/>
        </w:rPr>
        <w:t xml:space="preserve">. </w:t>
      </w:r>
    </w:p>
    <w:p w:rsidR="00000000" w:rsidDel="00000000" w:rsidP="00000000" w:rsidRDefault="00000000" w:rsidRPr="00000000" w14:paraId="000000D4">
      <w:pPr>
        <w:spacing w:after="0" w:line="240" w:lineRule="auto"/>
        <w:jc w:val="both"/>
        <w:rPr>
          <w:rFonts w:ascii="Arial" w:cs="Arial" w:eastAsia="Arial" w:hAnsi="Arial"/>
          <w:b w:val="1"/>
          <w:u w:val="single"/>
        </w:rPr>
      </w:pPr>
      <w:r w:rsidDel="00000000" w:rsidR="00000000" w:rsidRPr="00000000">
        <w:rPr>
          <w:rtl w:val="0"/>
        </w:rPr>
      </w:r>
    </w:p>
    <w:tbl>
      <w:tblPr>
        <w:tblStyle w:val="Table11"/>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D5">
            <w:pPr>
              <w:jc w:val="center"/>
              <w:rPr>
                <w:rFonts w:ascii="Arial" w:cs="Arial" w:eastAsia="Arial" w:hAnsi="Arial"/>
                <w:b w:val="1"/>
              </w:rPr>
            </w:pPr>
            <w:r w:rsidDel="00000000" w:rsidR="00000000" w:rsidRPr="00000000">
              <w:rPr>
                <w:rFonts w:ascii="Arial" w:cs="Arial" w:eastAsia="Arial" w:hAnsi="Arial"/>
                <w:b w:val="1"/>
                <w:rtl w:val="0"/>
              </w:rPr>
              <w:t xml:space="preserve">HALLAZGOS</w:t>
            </w:r>
          </w:p>
        </w:tc>
      </w:tr>
    </w:tbl>
    <w:p w:rsidR="00000000" w:rsidDel="00000000" w:rsidP="00000000" w:rsidRDefault="00000000" w:rsidRPr="00000000" w14:paraId="000000D6">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after="0" w:line="240"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resulten en observaciones, respecto al propósito analizado en el presente objetivo</w:t>
      </w: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b w:val="1"/>
          <w:color w:val="808080"/>
          <w:u w:val="single"/>
        </w:rPr>
      </w:pPr>
      <w:r w:rsidDel="00000000" w:rsidR="00000000" w:rsidRPr="00000000">
        <w:rPr>
          <w:rtl w:val="0"/>
        </w:rPr>
      </w:r>
    </w:p>
    <w:p w:rsidR="00000000" w:rsidDel="00000000" w:rsidP="00000000" w:rsidRDefault="00000000" w:rsidRPr="00000000" w14:paraId="000000D9">
      <w:pPr>
        <w:spacing w:after="0" w:line="240" w:lineRule="auto"/>
        <w:jc w:val="both"/>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4" name="image1.jpg"/>
          <a:graphic>
            <a:graphicData uri="http://schemas.openxmlformats.org/drawingml/2006/picture">
              <pic:pic>
                <pic:nvPicPr>
                  <pic:cNvPr descr="C:\Users\CASA\Downloads\Logo FORMATOS.jpg" id="0" name="image1.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0D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
    <w:tblPr>
      <w:tblStyleRowBandSize w:val="1"/>
      <w:tblStyleColBandSize w:val="1"/>
      <w:tblCellMar>
        <w:top w:w="0.0" w:type="dxa"/>
        <w:left w:w="115.0" w:type="dxa"/>
        <w:bottom w:w="0.0" w:type="dxa"/>
        <w:right w:w="115.0" w:type="dxa"/>
      </w:tblCellMar>
    </w:tblPr>
  </w:style>
  <w:style w:type="table" w:styleId="a5"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2YljE9KafHHkOqBPeTKszfTk5Q==">CgMxLjAyCGguZ2pkZ3hzOAByITFXWDFWRzNrbGU3RXdVbGtJV3lIR29aSm96SmtHcko0OQ==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