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FA0F" w14:textId="77777777" w:rsidR="0081729A" w:rsidRDefault="0081729A" w:rsidP="00523634">
      <w:pPr>
        <w:jc w:val="center"/>
        <w:rPr>
          <w:b/>
          <w:bCs/>
        </w:rPr>
      </w:pPr>
      <w:bookmarkStart w:id="0" w:name="_GoBack"/>
      <w:bookmarkEnd w:id="0"/>
    </w:p>
    <w:p w14:paraId="5226429E" w14:textId="1ADDFE92" w:rsidR="00950F81" w:rsidRPr="00523634" w:rsidRDefault="00950F81" w:rsidP="00523634">
      <w:pPr>
        <w:jc w:val="center"/>
        <w:rPr>
          <w:b/>
          <w:bCs/>
        </w:rPr>
      </w:pPr>
      <w:r w:rsidRPr="0081729A">
        <w:rPr>
          <w:b/>
          <w:bCs/>
        </w:rPr>
        <w:t>ADMINISTRACIÓN DE</w:t>
      </w:r>
      <w:r w:rsidRPr="00523634">
        <w:rPr>
          <w:b/>
          <w:bCs/>
        </w:rPr>
        <w:t xml:space="preserve"> RIESGOS </w:t>
      </w:r>
      <w:r w:rsidR="00BD4A0E" w:rsidRPr="00CD2529">
        <w:rPr>
          <w:b/>
          <w:bCs/>
        </w:rPr>
        <w:t xml:space="preserve">DE CORRUPCIÓN </w:t>
      </w:r>
      <w:r w:rsidRPr="00CD2529">
        <w:rPr>
          <w:b/>
          <w:bCs/>
        </w:rPr>
        <w:t>EN</w:t>
      </w:r>
      <w:r w:rsidRPr="00523634">
        <w:rPr>
          <w:b/>
          <w:bCs/>
        </w:rPr>
        <w:t xml:space="preserve"> EL I</w:t>
      </w:r>
      <w:r w:rsidR="00F76799" w:rsidRPr="00523634">
        <w:rPr>
          <w:b/>
          <w:bCs/>
        </w:rPr>
        <w:t>NSTITUTO DISTRITAL DE RECREACIÓN Y DEPORTE</w:t>
      </w:r>
    </w:p>
    <w:p w14:paraId="4A87B3A4" w14:textId="6057744D" w:rsidR="00523634" w:rsidRDefault="00523634" w:rsidP="00523634">
      <w:pPr>
        <w:jc w:val="center"/>
        <w:rPr>
          <w:b/>
          <w:bCs/>
        </w:rPr>
      </w:pPr>
      <w:r w:rsidRPr="00523634">
        <w:rPr>
          <w:b/>
          <w:bCs/>
        </w:rPr>
        <w:t>SEGUNDA LÍNEA DE DEFENSA</w:t>
      </w:r>
    </w:p>
    <w:p w14:paraId="0EF53A27" w14:textId="4E973F49" w:rsidR="006A64B8" w:rsidRDefault="006A64B8" w:rsidP="00523634">
      <w:pPr>
        <w:jc w:val="center"/>
        <w:rPr>
          <w:b/>
          <w:bCs/>
        </w:rPr>
      </w:pPr>
      <w:r w:rsidRPr="00EF1AC6">
        <w:rPr>
          <w:b/>
          <w:bCs/>
        </w:rPr>
        <w:t>TRIMESTRE: SEGUNDO DE 2024</w:t>
      </w:r>
    </w:p>
    <w:p w14:paraId="19B3DE78" w14:textId="77777777" w:rsidR="00523634" w:rsidRDefault="00523634" w:rsidP="00523634">
      <w:pPr>
        <w:rPr>
          <w:b/>
          <w:bCs/>
        </w:rPr>
      </w:pPr>
    </w:p>
    <w:p w14:paraId="7E601D36" w14:textId="0C2F2F5D" w:rsidR="00523634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Introducción </w:t>
      </w:r>
    </w:p>
    <w:p w14:paraId="76F47ED9" w14:textId="005BB79A" w:rsidR="00B63BCF" w:rsidRDefault="00523634" w:rsidP="00523634">
      <w:pPr>
        <w:jc w:val="both"/>
      </w:pPr>
      <w:r>
        <w:t>E</w:t>
      </w:r>
      <w:r w:rsidRPr="00523634">
        <w:t xml:space="preserve">n el marco de la </w:t>
      </w:r>
      <w:r>
        <w:t>P</w:t>
      </w:r>
      <w:r w:rsidRPr="00523634">
        <w:t xml:space="preserve">olítica de </w:t>
      </w:r>
      <w:r>
        <w:t>A</w:t>
      </w:r>
      <w:r w:rsidRPr="00523634">
        <w:t xml:space="preserve">dministración de </w:t>
      </w:r>
      <w:r>
        <w:t>R</w:t>
      </w:r>
      <w:r w:rsidRPr="00523634">
        <w:t xml:space="preserve">iesgos en el </w:t>
      </w:r>
      <w:r>
        <w:t>I</w:t>
      </w:r>
      <w:r w:rsidRPr="00523634">
        <w:t xml:space="preserve">nstituto </w:t>
      </w:r>
      <w:r>
        <w:t>D</w:t>
      </w:r>
      <w:r w:rsidRPr="00523634">
        <w:t xml:space="preserve">istrital de </w:t>
      </w:r>
      <w:r>
        <w:t>R</w:t>
      </w:r>
      <w:r w:rsidRPr="00523634">
        <w:t xml:space="preserve">ecreación y </w:t>
      </w:r>
      <w:r>
        <w:t>D</w:t>
      </w:r>
      <w:r w:rsidRPr="00523634">
        <w:t>eporte</w:t>
      </w:r>
      <w:r>
        <w:t xml:space="preserve">, </w:t>
      </w:r>
      <w:r w:rsidRPr="00EF1AC6">
        <w:t xml:space="preserve">versión </w:t>
      </w:r>
      <w:r w:rsidR="006A64B8" w:rsidRPr="00EF1AC6">
        <w:t>7</w:t>
      </w:r>
      <w:r w:rsidRPr="00EF1AC6">
        <w:t xml:space="preserve"> de </w:t>
      </w:r>
      <w:r w:rsidR="006A64B8" w:rsidRPr="00EF1AC6">
        <w:t xml:space="preserve">junio </w:t>
      </w:r>
      <w:r w:rsidRPr="00EF1AC6">
        <w:t>de 202</w:t>
      </w:r>
      <w:r w:rsidR="006A64B8" w:rsidRPr="00EF1AC6">
        <w:t>4</w:t>
      </w:r>
      <w:r w:rsidRPr="00EF1AC6">
        <w:t>,</w:t>
      </w:r>
      <w:r>
        <w:t xml:space="preserve"> </w:t>
      </w:r>
      <w:r w:rsidR="003255D5">
        <w:t xml:space="preserve">la Oficina Asesora de Planeación, </w:t>
      </w:r>
      <w:r w:rsidR="00715426">
        <w:t xml:space="preserve">en su rol de segunda línea de defensa, </w:t>
      </w:r>
      <w:r w:rsidR="005D7202">
        <w:t xml:space="preserve">debe realizar monitoreo a los controles, planes de acción e indicadores de los </w:t>
      </w:r>
      <w:r w:rsidR="005D7202" w:rsidRPr="00CD2529">
        <w:t xml:space="preserve">riesgos </w:t>
      </w:r>
      <w:r w:rsidR="00BD4A0E" w:rsidRPr="00CD2529">
        <w:t>de corrupción</w:t>
      </w:r>
      <w:r w:rsidR="00BD4A0E">
        <w:t xml:space="preserve"> </w:t>
      </w:r>
      <w:r w:rsidR="005D7202">
        <w:t xml:space="preserve">de los procesos, </w:t>
      </w:r>
      <w:r w:rsidR="00DE4798">
        <w:t xml:space="preserve">a fin de conocer los resultados </w:t>
      </w:r>
      <w:r w:rsidR="00E93B08">
        <w:t>alcanzados en el período</w:t>
      </w:r>
      <w:r w:rsidR="007D30E7">
        <w:t xml:space="preserve">, </w:t>
      </w:r>
      <w:r w:rsidR="00E93B08">
        <w:t>concluir si se</w:t>
      </w:r>
      <w:r w:rsidR="003C4035">
        <w:t xml:space="preserve"> han</w:t>
      </w:r>
      <w:r w:rsidR="00E93B08">
        <w:t xml:space="preserve"> </w:t>
      </w:r>
      <w:r w:rsidR="00B63BCF">
        <w:t>implementado conforme a lo establecido</w:t>
      </w:r>
      <w:r w:rsidR="007D30E7">
        <w:t xml:space="preserve"> y </w:t>
      </w:r>
      <w:r w:rsidR="00232A60">
        <w:t>determinar</w:t>
      </w:r>
      <w:r w:rsidR="007D30E7">
        <w:t xml:space="preserve"> oportun</w:t>
      </w:r>
      <w:r w:rsidR="00C10A52">
        <w:t xml:space="preserve">idades de mejora. </w:t>
      </w:r>
    </w:p>
    <w:p w14:paraId="55A53C96" w14:textId="19D8EFD1" w:rsidR="00523634" w:rsidRPr="00EF1AC6" w:rsidRDefault="00C77BD6" w:rsidP="00523634">
      <w:pPr>
        <w:jc w:val="both"/>
      </w:pPr>
      <w:r>
        <w:t xml:space="preserve">Este </w:t>
      </w:r>
      <w:r w:rsidRPr="00EF1AC6">
        <w:t xml:space="preserve">monitoreo </w:t>
      </w:r>
      <w:r w:rsidR="00881A1D" w:rsidRPr="00EF1AC6">
        <w:t xml:space="preserve">se realiza </w:t>
      </w:r>
      <w:r w:rsidRPr="00EF1AC6">
        <w:t xml:space="preserve">en las siguientes </w:t>
      </w:r>
      <w:r w:rsidR="00881A1D" w:rsidRPr="00EF1AC6">
        <w:t>periodicidades</w:t>
      </w:r>
      <w:r w:rsidR="003C4035" w:rsidRPr="00EF1AC6">
        <w:t>,</w:t>
      </w:r>
      <w:r w:rsidR="00881A1D" w:rsidRPr="00EF1AC6">
        <w:t xml:space="preserve"> c</w:t>
      </w:r>
      <w:r w:rsidR="00761144" w:rsidRPr="00EF1AC6">
        <w:t xml:space="preserve">uyos </w:t>
      </w:r>
      <w:r w:rsidR="00881A1D" w:rsidRPr="00EF1AC6">
        <w:t>objetivos particulares</w:t>
      </w:r>
      <w:r w:rsidRPr="00EF1AC6">
        <w:t>, son:</w:t>
      </w:r>
    </w:p>
    <w:p w14:paraId="0C4D3271" w14:textId="77777777" w:rsidR="0029463E" w:rsidRPr="00EF1AC6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0894BEF8" w14:textId="77777777" w:rsidR="0029463E" w:rsidRPr="00EF1AC6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6"/>
        </w:tabs>
        <w:autoSpaceDE w:val="0"/>
        <w:autoSpaceDN w:val="0"/>
        <w:spacing w:after="0" w:line="240" w:lineRule="auto"/>
        <w:ind w:left="996" w:hanging="356"/>
        <w:contextualSpacing w:val="0"/>
      </w:pPr>
      <w:r w:rsidRPr="00EF1AC6">
        <w:rPr>
          <w:b/>
          <w:bCs/>
        </w:rPr>
        <w:t>Mensualmente</w:t>
      </w:r>
      <w:r w:rsidRPr="00EF1AC6">
        <w:t xml:space="preserve"> a través de la consulta en la plataforma ISOLUCION:</w:t>
      </w:r>
    </w:p>
    <w:p w14:paraId="4D6EE01F" w14:textId="77777777" w:rsidR="0029463E" w:rsidRPr="00EF1AC6" w:rsidRDefault="0029463E" w:rsidP="0029463E">
      <w:pPr>
        <w:pStyle w:val="Textoindependiente"/>
        <w:spacing w:before="3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3198EFA9" w14:textId="77777777" w:rsidR="0029463E" w:rsidRPr="00EF1AC6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50"/>
        <w:contextualSpacing w:val="0"/>
        <w:jc w:val="both"/>
      </w:pPr>
      <w:r w:rsidRPr="00EF1AC6">
        <w:t>Verificación de la implementación de las actividades establecidas en los planes de acción (matrices de riesgos) en las fechas establecidas.</w:t>
      </w:r>
    </w:p>
    <w:p w14:paraId="532EFD89" w14:textId="77777777" w:rsidR="0029463E" w:rsidRPr="00EF1AC6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EF1AC6">
        <w:t>Cargue adecuado, completo y coherente de las evidencias de acuerdo con la información establecida en los planes de acción.</w:t>
      </w:r>
    </w:p>
    <w:p w14:paraId="4CC15420" w14:textId="77777777" w:rsidR="0029463E" w:rsidRPr="00EF1AC6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EF1AC6">
        <w:t>Verificación de la información de mediciones de los indicadores y revisión de resultados para evaluar si el riesgo se ha materializado. Si el indicador se incumple se procede a generar la respectiva acción correctiva.</w:t>
      </w:r>
    </w:p>
    <w:p w14:paraId="60361E87" w14:textId="77777777" w:rsidR="0029463E" w:rsidRPr="00EF1AC6" w:rsidRDefault="0029463E" w:rsidP="0029463E">
      <w:pPr>
        <w:pStyle w:val="Prrafodelista"/>
        <w:widowControl w:val="0"/>
        <w:tabs>
          <w:tab w:val="left" w:pos="997"/>
        </w:tabs>
        <w:autoSpaceDE w:val="0"/>
        <w:autoSpaceDN w:val="0"/>
        <w:spacing w:after="0" w:line="240" w:lineRule="auto"/>
        <w:ind w:left="997"/>
        <w:contextualSpacing w:val="0"/>
      </w:pPr>
    </w:p>
    <w:p w14:paraId="1A71D3EC" w14:textId="1D4E4EEA" w:rsidR="0029463E" w:rsidRPr="00EF1AC6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after="0" w:line="240" w:lineRule="auto"/>
        <w:ind w:left="997" w:hanging="357"/>
        <w:contextualSpacing w:val="0"/>
      </w:pPr>
      <w:r w:rsidRPr="00EF1AC6">
        <w:t>Trimestralmente a través de revisiones presenciales o virtuales con los procesos:</w:t>
      </w:r>
    </w:p>
    <w:p w14:paraId="1BDBC88C" w14:textId="77777777" w:rsidR="0029463E" w:rsidRPr="00EF1AC6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59A96518" w14:textId="77777777" w:rsidR="0029463E" w:rsidRPr="00EF1AC6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36"/>
        <w:contextualSpacing w:val="0"/>
        <w:jc w:val="both"/>
      </w:pPr>
      <w:r w:rsidRPr="00EF1AC6">
        <w:t>Seguimiento a la ejecución y eficacia de los controles mediante la verificación de las evidencias establecidas en los mapas de riesgos y el cumplimiento del propósito para el cual fueron creadas.</w:t>
      </w:r>
    </w:p>
    <w:p w14:paraId="52983970" w14:textId="77777777" w:rsidR="0029463E" w:rsidRPr="00EF1AC6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EF1AC6">
        <w:t>Evaluación de la necesidad de ajustar las matrices como resultado de la implementación de controles, planes de acción y análisis de indicadores de riesgos.</w:t>
      </w:r>
    </w:p>
    <w:p w14:paraId="433B3A54" w14:textId="77777777" w:rsidR="0029463E" w:rsidRPr="0029463E" w:rsidRDefault="0029463E" w:rsidP="0029463E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  <w:jc w:val="right"/>
      </w:pPr>
    </w:p>
    <w:p w14:paraId="6022D6BA" w14:textId="599F4D96" w:rsidR="00C56870" w:rsidRDefault="00C56870" w:rsidP="00C56870">
      <w:pPr>
        <w:jc w:val="both"/>
      </w:pPr>
      <w:r>
        <w:t xml:space="preserve">Este informe </w:t>
      </w:r>
      <w:r w:rsidR="00E60D76">
        <w:t xml:space="preserve">presenta los resultados de la verificación trimestral </w:t>
      </w:r>
      <w:r w:rsidR="006A6349">
        <w:t xml:space="preserve">que se realizaron a los controles </w:t>
      </w:r>
      <w:r w:rsidR="00762B4A">
        <w:t xml:space="preserve">de cada uno de los </w:t>
      </w:r>
      <w:r w:rsidR="00604DF9" w:rsidRPr="007175FB">
        <w:t xml:space="preserve">riesgos </w:t>
      </w:r>
      <w:r w:rsidR="00604DF9">
        <w:t>de</w:t>
      </w:r>
      <w:r w:rsidR="00CD2529">
        <w:t xml:space="preserve"> corrupción identificados en 13</w:t>
      </w:r>
      <w:r w:rsidR="00BA6BEC" w:rsidRPr="007175FB">
        <w:t xml:space="preserve"> </w:t>
      </w:r>
      <w:r w:rsidR="00762B4A" w:rsidRPr="007175FB">
        <w:t>procesos</w:t>
      </w:r>
      <w:r w:rsidR="00CD2529">
        <w:t xml:space="preserve"> de los 16 </w:t>
      </w:r>
      <w:r w:rsidR="0089571B" w:rsidRPr="007175FB">
        <w:t>que</w:t>
      </w:r>
      <w:r w:rsidR="0089571B">
        <w:t xml:space="preserve"> hacen parte del sistema de gestión del IDRD. </w:t>
      </w:r>
      <w:r w:rsidR="00A72218">
        <w:t>Para ello se realizaron reuniones</w:t>
      </w:r>
      <w:r w:rsidR="006C5951">
        <w:t xml:space="preserve"> </w:t>
      </w:r>
      <w:r w:rsidR="00EA447B">
        <w:t xml:space="preserve">por parte de los profesionales de la Oficina Asesora de Planeación </w:t>
      </w:r>
      <w:r w:rsidR="006C5951">
        <w:t xml:space="preserve">con los profesionales responsables </w:t>
      </w:r>
      <w:r w:rsidR="00EA447B">
        <w:t xml:space="preserve">por coordinar la gestión del riesgo en </w:t>
      </w:r>
      <w:r w:rsidR="00B11BA2">
        <w:t xml:space="preserve">cada uno de </w:t>
      </w:r>
      <w:r w:rsidR="00EA447B">
        <w:t>los procesos</w:t>
      </w:r>
      <w:r w:rsidR="003C6200">
        <w:t>,</w:t>
      </w:r>
      <w:r w:rsidR="00B11BA2">
        <w:t xml:space="preserve"> solicitando las evidencias que respaldan la implementación de los controles. </w:t>
      </w:r>
    </w:p>
    <w:p w14:paraId="4FBA1016" w14:textId="52D0317D" w:rsidR="004814A2" w:rsidRDefault="00D00C21" w:rsidP="004814A2">
      <w:pPr>
        <w:jc w:val="both"/>
      </w:pPr>
      <w:r>
        <w:lastRenderedPageBreak/>
        <w:t>L</w:t>
      </w:r>
      <w:r w:rsidR="00CA0822">
        <w:t>a</w:t>
      </w:r>
      <w:r w:rsidR="00606C4F">
        <w:t xml:space="preserve">s </w:t>
      </w:r>
      <w:r w:rsidR="00CA0822">
        <w:t xml:space="preserve">conclusiones y </w:t>
      </w:r>
      <w:r w:rsidR="00957CDA">
        <w:t>decisione</w:t>
      </w:r>
      <w:r w:rsidR="00CA0822">
        <w:t xml:space="preserve">s resultantes </w:t>
      </w:r>
      <w:r w:rsidR="00606C4F">
        <w:t>d</w:t>
      </w:r>
      <w:r w:rsidR="007B02E0">
        <w:t xml:space="preserve">e </w:t>
      </w:r>
      <w:r w:rsidR="006E6309">
        <w:t>este monitoreo se</w:t>
      </w:r>
      <w:r w:rsidR="00E666B9">
        <w:t xml:space="preserve"> presentan </w:t>
      </w:r>
      <w:r w:rsidR="004814A2">
        <w:t xml:space="preserve">en: </w:t>
      </w:r>
    </w:p>
    <w:p w14:paraId="5E90B9C8" w14:textId="77777777" w:rsidR="00957CDA" w:rsidRDefault="00E666B9" w:rsidP="00957CDA">
      <w:pPr>
        <w:pStyle w:val="Prrafodelista"/>
        <w:numPr>
          <w:ilvl w:val="0"/>
          <w:numId w:val="5"/>
        </w:numPr>
        <w:jc w:val="both"/>
      </w:pPr>
      <w:r>
        <w:t>Matrices de riesgos de</w:t>
      </w:r>
      <w:r w:rsidR="00C6427E">
        <w:t xml:space="preserve"> cada proceso</w:t>
      </w:r>
      <w:r w:rsidR="00DF19A2">
        <w:t xml:space="preserve"> </w:t>
      </w:r>
      <w:r w:rsidR="00216456">
        <w:t>(l</w:t>
      </w:r>
      <w:r w:rsidR="00C6427E">
        <w:t>a</w:t>
      </w:r>
      <w:r w:rsidR="00216456">
        <w:t xml:space="preserve">s cuales hace parte de este </w:t>
      </w:r>
      <w:r w:rsidR="009424A7">
        <w:t>informe)</w:t>
      </w:r>
      <w:r w:rsidR="00C6427E">
        <w:t xml:space="preserve"> en las que se han dispuesto columnas para </w:t>
      </w:r>
      <w:r w:rsidR="00F36B14">
        <w:t>registrar el nombre la evidencia revisada</w:t>
      </w:r>
      <w:r w:rsidR="008751AF">
        <w:t>, el detalle de lo revisado, así como las conclusiones de</w:t>
      </w:r>
      <w:r w:rsidR="00191E48">
        <w:t xml:space="preserve"> la información revisada. </w:t>
      </w:r>
    </w:p>
    <w:p w14:paraId="78F5AC6B" w14:textId="77777777" w:rsidR="00957CDA" w:rsidRDefault="00957CDA" w:rsidP="00957CDA">
      <w:pPr>
        <w:pStyle w:val="Prrafodelista"/>
        <w:jc w:val="both"/>
      </w:pPr>
    </w:p>
    <w:p w14:paraId="32DC0D01" w14:textId="71342829" w:rsidR="00191E48" w:rsidRDefault="004814A2" w:rsidP="00957CDA">
      <w:pPr>
        <w:pStyle w:val="Prrafodelista"/>
        <w:numPr>
          <w:ilvl w:val="0"/>
          <w:numId w:val="5"/>
        </w:numPr>
        <w:jc w:val="both"/>
      </w:pPr>
      <w:r>
        <w:t xml:space="preserve">El presente documento en el cual se </w:t>
      </w:r>
      <w:r w:rsidR="005C1DF5">
        <w:t xml:space="preserve">establecen las conclusiones </w:t>
      </w:r>
      <w:r w:rsidR="000C5E91">
        <w:t>generale</w:t>
      </w:r>
      <w:r w:rsidR="005C1DF5">
        <w:t xml:space="preserve">s </w:t>
      </w:r>
      <w:r w:rsidR="000C5E91">
        <w:t xml:space="preserve">extraídas de un análisis transversal de comportamiento y situaciones </w:t>
      </w:r>
      <w:r w:rsidR="00345082">
        <w:t xml:space="preserve">vistas en todos los procesos. </w:t>
      </w:r>
    </w:p>
    <w:p w14:paraId="4A862160" w14:textId="35239564" w:rsidR="0086310F" w:rsidRDefault="00345082" w:rsidP="003C6200">
      <w:pPr>
        <w:jc w:val="both"/>
      </w:pPr>
      <w:r>
        <w:t xml:space="preserve">Es importante aclarar </w:t>
      </w:r>
      <w:r w:rsidR="00E43472">
        <w:t xml:space="preserve">que </w:t>
      </w:r>
      <w:r w:rsidR="00566FF0">
        <w:t xml:space="preserve">los procesos deben tomar acciones de las </w:t>
      </w:r>
      <w:r w:rsidR="00F57294">
        <w:t>conc</w:t>
      </w:r>
      <w:r w:rsidR="0014590E">
        <w:t>l</w:t>
      </w:r>
      <w:r w:rsidR="00F57294">
        <w:t>usiones</w:t>
      </w:r>
      <w:r w:rsidR="00566FF0">
        <w:t xml:space="preserve"> </w:t>
      </w:r>
      <w:r w:rsidR="00591852">
        <w:t xml:space="preserve">y decisiones </w:t>
      </w:r>
      <w:r w:rsidR="00566FF0">
        <w:t>registradas</w:t>
      </w:r>
      <w:r w:rsidR="0014590E">
        <w:t>,</w:t>
      </w:r>
      <w:r w:rsidR="00566FF0">
        <w:t xml:space="preserve"> tanto en las matrices de riesgos</w:t>
      </w:r>
      <w:r w:rsidR="0014590E">
        <w:t>,</w:t>
      </w:r>
      <w:r w:rsidR="00566FF0">
        <w:t xml:space="preserve"> como e</w:t>
      </w:r>
      <w:r w:rsidR="001E46F5">
        <w:t>n las definidas en este informe</w:t>
      </w:r>
      <w:r w:rsidR="00591852">
        <w:t xml:space="preserve"> y comunicar</w:t>
      </w:r>
      <w:r w:rsidR="001E46F5">
        <w:t xml:space="preserve"> a la Oficina Asesora de P</w:t>
      </w:r>
      <w:r w:rsidR="00812DB5">
        <w:t>laneación</w:t>
      </w:r>
      <w:r w:rsidR="0014590E">
        <w:t xml:space="preserve"> sobre su </w:t>
      </w:r>
      <w:r w:rsidR="00CD2529">
        <w:t>implementación.</w:t>
      </w:r>
    </w:p>
    <w:p w14:paraId="09ABEF59" w14:textId="0CF96570" w:rsidR="003C6200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Información del monitoreo</w:t>
      </w:r>
      <w:r w:rsidR="00331E40" w:rsidRPr="00B80F9B">
        <w:rPr>
          <w:b/>
          <w:bCs/>
        </w:rPr>
        <w:t>:</w:t>
      </w:r>
    </w:p>
    <w:p w14:paraId="1C6FEC71" w14:textId="77777777" w:rsidR="00D15275" w:rsidRPr="00B80F9B" w:rsidRDefault="00D15275" w:rsidP="00D15275">
      <w:pPr>
        <w:pStyle w:val="Prrafodelista"/>
        <w:jc w:val="both"/>
        <w:rPr>
          <w:b/>
          <w:bCs/>
        </w:rPr>
      </w:pPr>
    </w:p>
    <w:p w14:paraId="42ACB8DB" w14:textId="0EBBA4A8" w:rsidR="00EB4435" w:rsidRDefault="00D15275" w:rsidP="00D15275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Período evaluado:</w:t>
      </w:r>
      <w:r>
        <w:t xml:space="preserve"> </w:t>
      </w:r>
      <w:r w:rsidR="00BC0D49">
        <w:t>correspondiente a</w:t>
      </w:r>
      <w:r w:rsidR="00EB4435">
        <w:t xml:space="preserve"> los meses de </w:t>
      </w:r>
      <w:r w:rsidR="00604DF9" w:rsidRPr="00EF1AC6">
        <w:t>abril, mayo y junio</w:t>
      </w:r>
      <w:r w:rsidR="00120947">
        <w:t xml:space="preserve"> </w:t>
      </w:r>
      <w:r w:rsidR="00EB4435">
        <w:t>de 202</w:t>
      </w:r>
      <w:r w:rsidR="00120947">
        <w:t>4</w:t>
      </w:r>
    </w:p>
    <w:p w14:paraId="3AC4BF07" w14:textId="78DCD3F3" w:rsidR="00D15275" w:rsidRDefault="00686199" w:rsidP="00E12A1E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Número de procesos evaluados:</w:t>
      </w:r>
      <w:r>
        <w:t xml:space="preserve"> </w:t>
      </w:r>
      <w:r w:rsidRPr="00120947">
        <w:t>1</w:t>
      </w:r>
      <w:r w:rsidR="00E12A1E">
        <w:t>3</w:t>
      </w:r>
      <w:r w:rsidR="00CD2529">
        <w:t xml:space="preserve"> </w:t>
      </w:r>
      <w:r w:rsidR="00D45AF3">
        <w:t>procesos</w:t>
      </w:r>
    </w:p>
    <w:p w14:paraId="49072FE5" w14:textId="38137D2C" w:rsidR="00686199" w:rsidRDefault="00A24D25" w:rsidP="00D15275">
      <w:pPr>
        <w:pStyle w:val="Prrafodelista"/>
        <w:numPr>
          <w:ilvl w:val="1"/>
          <w:numId w:val="1"/>
        </w:numPr>
        <w:jc w:val="both"/>
      </w:pPr>
      <w:r w:rsidRPr="000855C9">
        <w:rPr>
          <w:b/>
          <w:bCs/>
        </w:rPr>
        <w:t>Fecha de inicio/ fin del monitoreo</w:t>
      </w:r>
      <w:r w:rsidRPr="00EF1AC6">
        <w:rPr>
          <w:b/>
          <w:bCs/>
        </w:rPr>
        <w:t xml:space="preserve">: </w:t>
      </w:r>
      <w:r w:rsidR="00120947" w:rsidRPr="00EF1AC6">
        <w:t>1</w:t>
      </w:r>
      <w:r w:rsidR="009A4D90" w:rsidRPr="00EF1AC6">
        <w:t>- 3</w:t>
      </w:r>
      <w:r w:rsidR="00604DF9" w:rsidRPr="00EF1AC6">
        <w:t>1</w:t>
      </w:r>
      <w:r w:rsidR="009A4D90" w:rsidRPr="00EF1AC6">
        <w:t xml:space="preserve"> </w:t>
      </w:r>
      <w:r w:rsidR="00604DF9" w:rsidRPr="00EF1AC6">
        <w:t>julio 2024</w:t>
      </w:r>
    </w:p>
    <w:p w14:paraId="3D362167" w14:textId="026342D2" w:rsidR="000855C9" w:rsidRPr="00E33507" w:rsidRDefault="009B5858" w:rsidP="00D15275">
      <w:pPr>
        <w:pStyle w:val="Prrafodelista"/>
        <w:numPr>
          <w:ilvl w:val="1"/>
          <w:numId w:val="1"/>
        </w:numPr>
        <w:jc w:val="both"/>
      </w:pPr>
      <w:r>
        <w:rPr>
          <w:b/>
          <w:bCs/>
        </w:rPr>
        <w:t>Me</w:t>
      </w:r>
      <w:r w:rsidR="003F1CDE">
        <w:rPr>
          <w:b/>
          <w:bCs/>
        </w:rPr>
        <w:t xml:space="preserve">todología: </w:t>
      </w:r>
    </w:p>
    <w:p w14:paraId="167FFCEF" w14:textId="17D5A435" w:rsidR="009A35B1" w:rsidRPr="00EF1AC6" w:rsidRDefault="009A35B1" w:rsidP="009A35B1">
      <w:pPr>
        <w:pStyle w:val="Prrafodelista"/>
        <w:numPr>
          <w:ilvl w:val="0"/>
          <w:numId w:val="3"/>
        </w:numPr>
        <w:jc w:val="both"/>
      </w:pPr>
      <w:r w:rsidRPr="00E33507">
        <w:t>Modalidad</w:t>
      </w:r>
      <w:r w:rsidR="00E33507" w:rsidRPr="00E33507">
        <w:t xml:space="preserve"> </w:t>
      </w:r>
      <w:r w:rsidRPr="00EF1AC6">
        <w:t>presencial</w:t>
      </w:r>
      <w:r w:rsidR="00604DF9" w:rsidRPr="00EF1AC6">
        <w:t xml:space="preserve"> y virtual.</w:t>
      </w:r>
    </w:p>
    <w:p w14:paraId="2841FCC5" w14:textId="6F5AAB8B" w:rsidR="00E33507" w:rsidRDefault="00E33507" w:rsidP="009A35B1">
      <w:pPr>
        <w:pStyle w:val="Prrafodelista"/>
        <w:numPr>
          <w:ilvl w:val="0"/>
          <w:numId w:val="3"/>
        </w:numPr>
        <w:jc w:val="both"/>
      </w:pPr>
      <w:r w:rsidRPr="00E33507">
        <w:t xml:space="preserve">Revisión del 100% de los riesgos y controles </w:t>
      </w:r>
    </w:p>
    <w:p w14:paraId="45983BD7" w14:textId="2CC0B722" w:rsidR="00E33507" w:rsidRPr="00E33507" w:rsidRDefault="00E33507" w:rsidP="009A35B1">
      <w:pPr>
        <w:pStyle w:val="Prrafodelista"/>
        <w:numPr>
          <w:ilvl w:val="0"/>
          <w:numId w:val="3"/>
        </w:numPr>
        <w:jc w:val="both"/>
      </w:pPr>
      <w:r>
        <w:t xml:space="preserve">Evidencias solicitadas por muestreo selectivo </w:t>
      </w:r>
    </w:p>
    <w:p w14:paraId="7A18EEFF" w14:textId="30D92E46" w:rsidR="0081729A" w:rsidRDefault="0081729A" w:rsidP="0081729A">
      <w:pPr>
        <w:jc w:val="both"/>
      </w:pPr>
      <w:r>
        <w:t>El resultado del monitoreo se encuentra registrado en cada una de las matrices de los riesgos de corrupción de los 13 procesos   en donde se identificaron.</w:t>
      </w:r>
    </w:p>
    <w:p w14:paraId="2995A0ED" w14:textId="13D35E03" w:rsidR="0081729A" w:rsidRPr="0081729A" w:rsidRDefault="0081729A" w:rsidP="0081729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Ruta</w:t>
      </w:r>
      <w:r w:rsidRPr="0081729A">
        <w:rPr>
          <w:b/>
          <w:bCs/>
        </w:rPr>
        <w:t xml:space="preserve"> de publicación:</w:t>
      </w:r>
    </w:p>
    <w:p w14:paraId="26A13812" w14:textId="2FE68607" w:rsidR="0081729A" w:rsidRPr="0081729A" w:rsidRDefault="0081729A" w:rsidP="0081729A">
      <w:pPr>
        <w:pStyle w:val="Prrafodelista"/>
        <w:ind w:left="1080"/>
        <w:jc w:val="both"/>
        <w:rPr>
          <w:color w:val="0070C0"/>
        </w:rPr>
      </w:pPr>
      <w:r>
        <w:t xml:space="preserve">Riesgos de corrupción: </w:t>
      </w:r>
      <w:hyperlink r:id="rId7" w:history="1">
        <w:r w:rsidRPr="0086016E">
          <w:rPr>
            <w:rStyle w:val="Hipervnculo"/>
          </w:rPr>
          <w:t>https://www.idrd.gov.co/transparencia-acceso-informacion-publica/planeacion-presupuesto-informes/plan-de-accion/programa-de-transparencia-y-etica-publica</w:t>
        </w:r>
      </w:hyperlink>
      <w:r>
        <w:rPr>
          <w:color w:val="0070C0"/>
        </w:rPr>
        <w:t xml:space="preserve">  - 2024</w:t>
      </w:r>
      <w:r>
        <w:t xml:space="preserve"> - monitoreo riesgos corrupción </w:t>
      </w:r>
    </w:p>
    <w:p w14:paraId="39F6101E" w14:textId="77777777" w:rsidR="009A1E7E" w:rsidRDefault="009A1E7E" w:rsidP="009A1E7E">
      <w:pPr>
        <w:pStyle w:val="Prrafodelista"/>
        <w:jc w:val="both"/>
      </w:pPr>
    </w:p>
    <w:p w14:paraId="0D686BCF" w14:textId="7B725F4F" w:rsidR="00E33507" w:rsidRDefault="009A1E7E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A1E7E">
        <w:rPr>
          <w:b/>
          <w:bCs/>
        </w:rPr>
        <w:t>Conclusiones</w:t>
      </w:r>
    </w:p>
    <w:p w14:paraId="622AB62E" w14:textId="77777777" w:rsidR="00EF2203" w:rsidRPr="00591852" w:rsidRDefault="00EF2203" w:rsidP="00EF2203">
      <w:pPr>
        <w:pStyle w:val="Prrafodelista"/>
        <w:jc w:val="both"/>
      </w:pPr>
    </w:p>
    <w:p w14:paraId="54E1B5C0" w14:textId="646E633C" w:rsidR="009A1E7E" w:rsidRDefault="00EF2203" w:rsidP="009A1E7E">
      <w:pPr>
        <w:pStyle w:val="Prrafodelista"/>
        <w:numPr>
          <w:ilvl w:val="0"/>
          <w:numId w:val="6"/>
        </w:numPr>
        <w:jc w:val="both"/>
      </w:pPr>
      <w:r w:rsidRPr="00591852">
        <w:t>En términos generales los procesos implementan</w:t>
      </w:r>
      <w:r w:rsidR="00591852">
        <w:t xml:space="preserve"> los controles establecidos en </w:t>
      </w:r>
      <w:r w:rsidR="00194CEC">
        <w:t>las matrices de los riesgos a fin de reducir el impacto y la probabilidad de ocurrencia de los riesgos.</w:t>
      </w:r>
    </w:p>
    <w:p w14:paraId="64BDB489" w14:textId="3F7DD93B" w:rsidR="009E4EE5" w:rsidRPr="009E4EE5" w:rsidRDefault="009E4EE5" w:rsidP="00D60331">
      <w:pPr>
        <w:pStyle w:val="Prrafodelista"/>
        <w:numPr>
          <w:ilvl w:val="0"/>
          <w:numId w:val="6"/>
        </w:numPr>
        <w:jc w:val="both"/>
      </w:pPr>
      <w:r w:rsidRPr="00EF1AC6">
        <w:t xml:space="preserve">En </w:t>
      </w:r>
      <w:r w:rsidR="00604DF9" w:rsidRPr="00EF1AC6">
        <w:t>algunos</w:t>
      </w:r>
      <w:r w:rsidR="00AC078C" w:rsidRPr="00EF1AC6">
        <w:t xml:space="preserve"> casos </w:t>
      </w:r>
      <w:r w:rsidR="00FB722C" w:rsidRPr="00EF1AC6">
        <w:t>se</w:t>
      </w:r>
      <w:r w:rsidR="00FB722C">
        <w:t xml:space="preserve"> contó </w:t>
      </w:r>
      <w:r w:rsidRPr="009E4EE5">
        <w:t>con la participación de los funcionarios que ejecutan los controles</w:t>
      </w:r>
      <w:r w:rsidR="002C4452">
        <w:t>,</w:t>
      </w:r>
      <w:r w:rsidRPr="009E4EE5">
        <w:t xml:space="preserve"> </w:t>
      </w:r>
      <w:r w:rsidR="00FB722C">
        <w:t xml:space="preserve">lo cual ayudó a </w:t>
      </w:r>
      <w:r w:rsidR="00AC078C">
        <w:t>mejorar la realización del eje</w:t>
      </w:r>
      <w:r w:rsidR="002C4452">
        <w:t xml:space="preserve">rcicio. </w:t>
      </w:r>
    </w:p>
    <w:p w14:paraId="2CEDAE56" w14:textId="5CB33B99" w:rsidR="00647027" w:rsidRDefault="00A23849" w:rsidP="009A1E7E">
      <w:pPr>
        <w:pStyle w:val="Prrafodelista"/>
        <w:numPr>
          <w:ilvl w:val="0"/>
          <w:numId w:val="6"/>
        </w:numPr>
        <w:jc w:val="both"/>
      </w:pPr>
      <w:r w:rsidRPr="00EF1AC6">
        <w:t>Sigue siendo importante</w:t>
      </w:r>
      <w:r>
        <w:t xml:space="preserve"> </w:t>
      </w:r>
      <w:r w:rsidR="00B9331A">
        <w:t>la conservación de las e</w:t>
      </w:r>
      <w:r w:rsidR="00E7406B">
        <w:t>v</w:t>
      </w:r>
      <w:r w:rsidR="00B9331A">
        <w:t xml:space="preserve">idencias </w:t>
      </w:r>
      <w:r w:rsidR="00E7406B">
        <w:t>en archivos</w:t>
      </w:r>
      <w:r w:rsidR="000C2C9B">
        <w:t xml:space="preserve"> centralizad</w:t>
      </w:r>
      <w:r w:rsidR="00E7406B">
        <w:t>o</w:t>
      </w:r>
      <w:r w:rsidR="000C2C9B">
        <w:t>s</w:t>
      </w:r>
      <w:r w:rsidR="00A33AD4">
        <w:t>, se requiere un mayor esfuerzo por part</w:t>
      </w:r>
      <w:r w:rsidR="00F22864">
        <w:t xml:space="preserve">e </w:t>
      </w:r>
      <w:r w:rsidR="00A33AD4">
        <w:t xml:space="preserve">de los procesos para </w:t>
      </w:r>
      <w:r w:rsidR="00647027">
        <w:t>mejorar el acceso ágil a esta información.</w:t>
      </w:r>
    </w:p>
    <w:p w14:paraId="316667CF" w14:textId="5A1F1783" w:rsidR="00647027" w:rsidRDefault="00647027" w:rsidP="009A1E7E">
      <w:pPr>
        <w:pStyle w:val="Prrafodelista"/>
        <w:numPr>
          <w:ilvl w:val="0"/>
          <w:numId w:val="6"/>
        </w:numPr>
        <w:jc w:val="both"/>
      </w:pPr>
      <w:r w:rsidRPr="00EF1AC6">
        <w:t xml:space="preserve">Dado el ingreso de personas nuevas a los procesos, </w:t>
      </w:r>
      <w:r w:rsidR="00405C5C" w:rsidRPr="00EF1AC6">
        <w:t xml:space="preserve">es necesario </w:t>
      </w:r>
      <w:r w:rsidR="00F45D5E" w:rsidRPr="00EF1AC6">
        <w:t xml:space="preserve">que cuenten con el apoyo de los profesionales </w:t>
      </w:r>
      <w:r w:rsidR="000E6C96" w:rsidRPr="00EF1AC6">
        <w:t>enlanches</w:t>
      </w:r>
      <w:r w:rsidR="00F45D5E" w:rsidRPr="00EF1AC6">
        <w:t xml:space="preserve"> </w:t>
      </w:r>
      <w:r w:rsidR="000E6C96" w:rsidRPr="00EF1AC6">
        <w:t>para incorporarlos en las actividades relacionadas con la</w:t>
      </w:r>
      <w:r w:rsidR="00405C5C" w:rsidRPr="00EF1AC6">
        <w:t xml:space="preserve"> gestión del riesgo, controles</w:t>
      </w:r>
      <w:r w:rsidR="005054D5" w:rsidRPr="00EF1AC6">
        <w:t xml:space="preserve"> y</w:t>
      </w:r>
      <w:r w:rsidR="00405C5C" w:rsidRPr="00EF1AC6">
        <w:t xml:space="preserve"> </w:t>
      </w:r>
      <w:r w:rsidR="005054D5" w:rsidRPr="00EF1AC6">
        <w:t>planes de acción, a fin de asegurar una implementació</w:t>
      </w:r>
      <w:r w:rsidR="003F5077" w:rsidRPr="00EF1AC6">
        <w:t>n</w:t>
      </w:r>
      <w:r w:rsidR="000E6C96" w:rsidRPr="00EF1AC6">
        <w:t xml:space="preserve"> eficaz</w:t>
      </w:r>
      <w:r w:rsidR="000E6C96">
        <w:t>.</w:t>
      </w:r>
    </w:p>
    <w:p w14:paraId="6316DB65" w14:textId="4510091F" w:rsidR="00AE0CDF" w:rsidRPr="00AE0CDF" w:rsidRDefault="00040646" w:rsidP="00AE0CDF">
      <w:pPr>
        <w:pStyle w:val="Prrafodelista"/>
        <w:numPr>
          <w:ilvl w:val="0"/>
          <w:numId w:val="6"/>
        </w:numPr>
        <w:jc w:val="both"/>
      </w:pPr>
      <w:r w:rsidRPr="00AE0CDF">
        <w:t>En general los indicadores cumplen con las metas establecidas.</w:t>
      </w:r>
      <w:r w:rsidR="00AE0CDF" w:rsidRPr="00AE0CDF">
        <w:t xml:space="preserve"> </w:t>
      </w:r>
      <w:r w:rsidRPr="00AE0CDF">
        <w:t xml:space="preserve">Todos los indicadores con frecuencia anual, semestral o trimestral que debieron medirse en este primer trimestre tienen reporte en </w:t>
      </w:r>
      <w:r w:rsidR="00130F54">
        <w:t>I</w:t>
      </w:r>
      <w:r w:rsidRPr="00AE0CDF">
        <w:t>solución</w:t>
      </w:r>
    </w:p>
    <w:p w14:paraId="541E31E9" w14:textId="59CC2060" w:rsidR="00040646" w:rsidRDefault="00040646" w:rsidP="00AE0CDF">
      <w:pPr>
        <w:pStyle w:val="Prrafodelista"/>
        <w:numPr>
          <w:ilvl w:val="0"/>
          <w:numId w:val="6"/>
        </w:numPr>
        <w:jc w:val="both"/>
      </w:pPr>
      <w:r w:rsidRPr="00AE0CDF">
        <w:lastRenderedPageBreak/>
        <w:t xml:space="preserve">Los planes de acción asociados a los riesgos y </w:t>
      </w:r>
      <w:r w:rsidR="00AE0CDF" w:rsidRPr="00AE0CDF">
        <w:t>controles</w:t>
      </w:r>
      <w:r w:rsidRPr="00AE0CDF">
        <w:t xml:space="preserve"> se encuentran con seguimiento y evidencias correspondientes</w:t>
      </w:r>
      <w:r w:rsidR="007E4C08">
        <w:t>.</w:t>
      </w:r>
    </w:p>
    <w:p w14:paraId="51E75525" w14:textId="576C42E0" w:rsidR="00AF0202" w:rsidRDefault="002F59DF" w:rsidP="00AE0CDF">
      <w:pPr>
        <w:pStyle w:val="Prrafodelista"/>
        <w:numPr>
          <w:ilvl w:val="0"/>
          <w:numId w:val="6"/>
        </w:numPr>
        <w:jc w:val="both"/>
      </w:pPr>
      <w:r>
        <w:t>Es importante que los procesos</w:t>
      </w:r>
      <w:r w:rsidR="001B634F">
        <w:t xml:space="preserve"> (primera línea de defensa)</w:t>
      </w:r>
      <w:r w:rsidR="00811215">
        <w:t xml:space="preserve"> cumplan con su responsabilidad de</w:t>
      </w:r>
      <w:r w:rsidR="00A64787">
        <w:t xml:space="preserve"> cargar en el drive las evidencias </w:t>
      </w:r>
      <w:r w:rsidR="009A7744">
        <w:t xml:space="preserve">que demuestran </w:t>
      </w:r>
      <w:r w:rsidR="00D7634E">
        <w:t>la implementación de l</w:t>
      </w:r>
      <w:r w:rsidR="001B634F">
        <w:t>os controles</w:t>
      </w:r>
      <w:r w:rsidR="005B4105">
        <w:t>, a fin de estar disponible permanente</w:t>
      </w:r>
      <w:r w:rsidR="00906F11">
        <w:t>mente</w:t>
      </w:r>
      <w:r w:rsidR="005B4105">
        <w:t xml:space="preserve">, </w:t>
      </w:r>
      <w:r w:rsidR="00906F11">
        <w:t>en caso de que</w:t>
      </w:r>
      <w:r w:rsidR="005B4105">
        <w:t xml:space="preserve"> las otras líneas de defensa requieran </w:t>
      </w:r>
      <w:r w:rsidR="00906F11">
        <w:t>de esta información.</w:t>
      </w:r>
    </w:p>
    <w:p w14:paraId="1E8C6D98" w14:textId="77777777" w:rsidR="00040646" w:rsidRDefault="00040646" w:rsidP="003F48FC">
      <w:pPr>
        <w:pStyle w:val="Prrafodelista"/>
        <w:jc w:val="both"/>
        <w:rPr>
          <w:b/>
          <w:bCs/>
        </w:rPr>
      </w:pPr>
    </w:p>
    <w:p w14:paraId="3DBD9791" w14:textId="2E1E29D3" w:rsidR="00F74626" w:rsidRDefault="00F74626" w:rsidP="00F7462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F48FC">
        <w:rPr>
          <w:b/>
          <w:bCs/>
        </w:rPr>
        <w:t>Decisiones</w:t>
      </w:r>
    </w:p>
    <w:p w14:paraId="3F059F56" w14:textId="77777777" w:rsidR="003F48FC" w:rsidRDefault="003F48FC" w:rsidP="003F48FC">
      <w:pPr>
        <w:pStyle w:val="Prrafodelista"/>
        <w:jc w:val="both"/>
        <w:rPr>
          <w:b/>
          <w:bCs/>
        </w:rPr>
      </w:pPr>
    </w:p>
    <w:p w14:paraId="6D318ABE" w14:textId="68BCA86B" w:rsidR="00457DBA" w:rsidRDefault="00457DBA" w:rsidP="00B30C1A">
      <w:pPr>
        <w:pStyle w:val="Prrafodelista"/>
        <w:widowControl w:val="0"/>
        <w:numPr>
          <w:ilvl w:val="0"/>
          <w:numId w:val="10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EF1AC6">
        <w:t xml:space="preserve">Es importante </w:t>
      </w:r>
      <w:r w:rsidR="00CF61F1" w:rsidRPr="00EF1AC6">
        <w:t xml:space="preserve">que la primera </w:t>
      </w:r>
      <w:r w:rsidR="00B30C1A" w:rsidRPr="00EF1AC6">
        <w:t>línea de defensa tenga e</w:t>
      </w:r>
      <w:r w:rsidRPr="00EF1AC6">
        <w:t xml:space="preserve">n cuenta </w:t>
      </w:r>
      <w:r w:rsidR="00B30C1A" w:rsidRPr="00EF1AC6">
        <w:t>las siguientes</w:t>
      </w:r>
      <w:r w:rsidR="00CF61F1" w:rsidRPr="00EF1AC6">
        <w:t xml:space="preserve"> fuentes para detectar nuevos riesgos </w:t>
      </w:r>
      <w:r w:rsidR="00B30C1A" w:rsidRPr="00EF1AC6">
        <w:t xml:space="preserve">o ajustar controles y planes de acción: </w:t>
      </w:r>
    </w:p>
    <w:p w14:paraId="26F57EB2" w14:textId="77777777" w:rsidR="00EF1AC6" w:rsidRPr="00EF1AC6" w:rsidRDefault="00EF1AC6" w:rsidP="00EF1AC6">
      <w:pPr>
        <w:pStyle w:val="Prrafodelista"/>
        <w:widowControl w:val="0"/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</w:p>
    <w:p w14:paraId="3CBB7085" w14:textId="77777777" w:rsidR="00B30C1A" w:rsidRPr="00EF1AC6" w:rsidRDefault="00457DBA" w:rsidP="00B30C1A">
      <w:pPr>
        <w:pStyle w:val="Prrafodelista"/>
        <w:widowControl w:val="0"/>
        <w:numPr>
          <w:ilvl w:val="0"/>
          <w:numId w:val="3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EF1AC6">
        <w:t>Evaluaciones realizadas por entes externos de control cuyo resultado impacta la gestión institucional.</w:t>
      </w:r>
    </w:p>
    <w:p w14:paraId="1AD83321" w14:textId="75AE59E4" w:rsidR="00457DBA" w:rsidRPr="00EF1AC6" w:rsidRDefault="00457DBA" w:rsidP="00B30C1A">
      <w:pPr>
        <w:pStyle w:val="Prrafodelista"/>
        <w:widowControl w:val="0"/>
        <w:numPr>
          <w:ilvl w:val="0"/>
          <w:numId w:val="3"/>
        </w:numPr>
        <w:tabs>
          <w:tab w:val="left" w:pos="1358"/>
          <w:tab w:val="left" w:pos="1360"/>
        </w:tabs>
        <w:autoSpaceDE w:val="0"/>
        <w:autoSpaceDN w:val="0"/>
        <w:spacing w:before="1" w:after="0" w:line="240" w:lineRule="auto"/>
        <w:ind w:right="-93"/>
        <w:jc w:val="both"/>
      </w:pPr>
      <w:r w:rsidRPr="00EF1AC6">
        <w:t>Observaciones y recomendaciones procedentes de las auditorias de control interno.</w:t>
      </w:r>
    </w:p>
    <w:p w14:paraId="017FCE48" w14:textId="77777777" w:rsidR="00EF1AC6" w:rsidRDefault="00EF1AC6" w:rsidP="007A7F0E">
      <w:pPr>
        <w:pStyle w:val="Prrafodelista"/>
        <w:jc w:val="both"/>
      </w:pPr>
    </w:p>
    <w:p w14:paraId="00C1802B" w14:textId="4DD863F7" w:rsidR="007A7F0E" w:rsidRDefault="00B30C1A" w:rsidP="007A7F0E">
      <w:pPr>
        <w:pStyle w:val="Prrafodelista"/>
        <w:jc w:val="both"/>
      </w:pPr>
      <w:r w:rsidRPr="00EF1AC6">
        <w:t xml:space="preserve">Lo anterior en el marco de los lineamientos presentados en </w:t>
      </w:r>
      <w:r w:rsidR="00F0175B" w:rsidRPr="00EF1AC6">
        <w:t xml:space="preserve">el </w:t>
      </w:r>
      <w:r w:rsidR="007A7F0E" w:rsidRPr="00EF1AC6">
        <w:t>ítem</w:t>
      </w:r>
      <w:r w:rsidR="00F0175B" w:rsidRPr="00EF1AC6">
        <w:t xml:space="preserve"> 9.1 de la </w:t>
      </w:r>
      <w:r w:rsidR="007A7F0E" w:rsidRPr="00EF1AC6">
        <w:t>POLÍTICA DE ADMINISTRACIÓN DE RIESGOS EN EL INSTITUTO DISTRITAL DE RECREACIÓN Y DEPORTE IDRD, V7.</w:t>
      </w:r>
    </w:p>
    <w:p w14:paraId="4674B59D" w14:textId="77777777" w:rsidR="007A7F0E" w:rsidRDefault="00EC0983" w:rsidP="007A7F0E">
      <w:pPr>
        <w:pStyle w:val="Prrafodelista"/>
        <w:numPr>
          <w:ilvl w:val="0"/>
          <w:numId w:val="10"/>
        </w:numPr>
        <w:jc w:val="both"/>
      </w:pPr>
      <w:r w:rsidRPr="009E4EE5">
        <w:t>Continuar r</w:t>
      </w:r>
      <w:r w:rsidR="00A64546" w:rsidRPr="009E4EE5">
        <w:t>egistra</w:t>
      </w:r>
      <w:r w:rsidRPr="009E4EE5">
        <w:t xml:space="preserve">ndo </w:t>
      </w:r>
      <w:r w:rsidR="00A64546" w:rsidRPr="009E4EE5">
        <w:t xml:space="preserve">en la matriz de riesgos, </w:t>
      </w:r>
      <w:r w:rsidR="006D660F" w:rsidRPr="009E4EE5">
        <w:t xml:space="preserve">la ruta o el </w:t>
      </w:r>
      <w:r w:rsidR="004D05CF" w:rsidRPr="009E4EE5">
        <w:t>enlace</w:t>
      </w:r>
      <w:r w:rsidR="006D660F" w:rsidRPr="009E4EE5">
        <w:t xml:space="preserve"> </w:t>
      </w:r>
      <w:r w:rsidR="0012550F" w:rsidRPr="009E4EE5">
        <w:t>de acceso d</w:t>
      </w:r>
      <w:r w:rsidR="005546F2" w:rsidRPr="009E4EE5">
        <w:t xml:space="preserve">onde se </w:t>
      </w:r>
      <w:r w:rsidR="00854164" w:rsidRPr="009E4EE5">
        <w:t>encuentra</w:t>
      </w:r>
      <w:r w:rsidR="0012550F" w:rsidRPr="009E4EE5">
        <w:t xml:space="preserve"> </w:t>
      </w:r>
      <w:r w:rsidR="00A64546" w:rsidRPr="009E4EE5">
        <w:t>cada evidencia</w:t>
      </w:r>
      <w:r w:rsidR="004D05CF" w:rsidRPr="009E4EE5">
        <w:t xml:space="preserve">, a fin de </w:t>
      </w:r>
      <w:r w:rsidR="001F27A3" w:rsidRPr="009E4EE5">
        <w:t xml:space="preserve">conocer </w:t>
      </w:r>
      <w:r w:rsidR="005548F4" w:rsidRPr="009E4EE5">
        <w:t>con facilidad donde</w:t>
      </w:r>
      <w:r w:rsidR="001D7B51" w:rsidRPr="009E4EE5">
        <w:t xml:space="preserve"> se encuentran</w:t>
      </w:r>
      <w:r w:rsidR="00854164" w:rsidRPr="009E4EE5">
        <w:t xml:space="preserve"> y </w:t>
      </w:r>
      <w:r w:rsidR="001D7B51" w:rsidRPr="009E4EE5">
        <w:t xml:space="preserve">facilitar </w:t>
      </w:r>
      <w:r w:rsidR="004067A8" w:rsidRPr="009E4EE5">
        <w:t>el ejercicio de monitoreo de la segunda línea de defensa.</w:t>
      </w:r>
      <w:r w:rsidR="00E639EA" w:rsidRPr="009E4EE5">
        <w:t xml:space="preserve"> </w:t>
      </w:r>
    </w:p>
    <w:p w14:paraId="776458E0" w14:textId="77777777" w:rsidR="007A7F0E" w:rsidRDefault="00A31372" w:rsidP="007A7F0E">
      <w:pPr>
        <w:pStyle w:val="Prrafodelista"/>
        <w:numPr>
          <w:ilvl w:val="0"/>
          <w:numId w:val="10"/>
        </w:numPr>
        <w:jc w:val="both"/>
      </w:pPr>
      <w:r w:rsidRPr="009E4EE5">
        <w:t>Continuar con la r</w:t>
      </w:r>
      <w:r w:rsidR="00BD5453" w:rsidRPr="009E4EE5">
        <w:t>evis</w:t>
      </w:r>
      <w:r w:rsidRPr="009E4EE5">
        <w:t xml:space="preserve">ión de </w:t>
      </w:r>
      <w:r w:rsidR="00A66291" w:rsidRPr="009E4EE5">
        <w:t>los nombres d</w:t>
      </w:r>
      <w:r w:rsidR="004A0D4F" w:rsidRPr="009E4EE5">
        <w:t xml:space="preserve">e las evidencias de los controles </w:t>
      </w:r>
      <w:r w:rsidR="00495C3D" w:rsidRPr="009E4EE5">
        <w:t>que apa</w:t>
      </w:r>
      <w:r w:rsidR="001F7F65" w:rsidRPr="009E4EE5">
        <w:t>recen en la matriz de riesgos de tal manera que se conserven las que apliquen, se eliminen las que no corresponden y se adicionen otras que hacen</w:t>
      </w:r>
      <w:r w:rsidR="005466CD" w:rsidRPr="009E4EE5">
        <w:t xml:space="preserve"> parte de ellos.</w:t>
      </w:r>
    </w:p>
    <w:p w14:paraId="7E6AE505" w14:textId="77777777" w:rsidR="007A7F0E" w:rsidRDefault="009834E2" w:rsidP="007A7F0E">
      <w:pPr>
        <w:pStyle w:val="Prrafodelista"/>
        <w:numPr>
          <w:ilvl w:val="0"/>
          <w:numId w:val="10"/>
        </w:numPr>
        <w:jc w:val="both"/>
      </w:pPr>
      <w:r w:rsidRPr="009E4EE5">
        <w:t>Implementar el seguimiento a los controles</w:t>
      </w:r>
      <w:r w:rsidR="00141E8B" w:rsidRPr="009E4EE5">
        <w:t xml:space="preserve"> </w:t>
      </w:r>
      <w:r w:rsidR="0085681D" w:rsidRPr="009E4EE5">
        <w:t>establecidos en la matriz de riesgos</w:t>
      </w:r>
      <w:r w:rsidR="00473231" w:rsidRPr="009E4EE5">
        <w:t xml:space="preserve"> mediante la metodología que en su momento informará la Oficina Asesora de Planeación.</w:t>
      </w:r>
    </w:p>
    <w:p w14:paraId="1930A79A" w14:textId="77777777" w:rsidR="007A7F0E" w:rsidRDefault="003A2635" w:rsidP="007A7F0E">
      <w:pPr>
        <w:pStyle w:val="Prrafodelista"/>
        <w:numPr>
          <w:ilvl w:val="0"/>
          <w:numId w:val="10"/>
        </w:numPr>
        <w:jc w:val="both"/>
      </w:pPr>
      <w:r>
        <w:t xml:space="preserve">La segunda línea de defensa brindará </w:t>
      </w:r>
      <w:r w:rsidR="00507D28">
        <w:t>sensibilización</w:t>
      </w:r>
      <w:r>
        <w:t xml:space="preserve"> a las personas </w:t>
      </w:r>
      <w:r w:rsidR="00507D28">
        <w:t>nuevas</w:t>
      </w:r>
      <w:r>
        <w:t xml:space="preserve"> de los </w:t>
      </w:r>
      <w:r w:rsidR="00507D28">
        <w:t>procesos</w:t>
      </w:r>
      <w:r>
        <w:t xml:space="preserve"> para </w:t>
      </w:r>
      <w:r w:rsidR="00507D28">
        <w:t xml:space="preserve">mejorar su nivel de </w:t>
      </w:r>
      <w:r w:rsidR="0081729A">
        <w:t>conocimiento frente</w:t>
      </w:r>
      <w:r w:rsidR="00507D28">
        <w:t xml:space="preserve"> al tema. </w:t>
      </w:r>
    </w:p>
    <w:p w14:paraId="16FC9D0A" w14:textId="77777777" w:rsidR="007A7F0E" w:rsidRPr="00EF1AC6" w:rsidRDefault="00746669" w:rsidP="007A7F0E">
      <w:pPr>
        <w:pStyle w:val="Prrafodelista"/>
        <w:numPr>
          <w:ilvl w:val="0"/>
          <w:numId w:val="10"/>
        </w:numPr>
        <w:jc w:val="both"/>
      </w:pPr>
      <w:r w:rsidRPr="00EF1AC6">
        <w:t>La Oficina Ase</w:t>
      </w:r>
      <w:r w:rsidR="00CF7294" w:rsidRPr="00EF1AC6">
        <w:t xml:space="preserve">sora de Planeación realiza sensibilización el día 31 de julio a todos </w:t>
      </w:r>
      <w:r w:rsidR="00CB7E40" w:rsidRPr="00EF1AC6">
        <w:t xml:space="preserve">los enlaces de los procesos y </w:t>
      </w:r>
      <w:r w:rsidR="005B19A0" w:rsidRPr="00EF1AC6">
        <w:t xml:space="preserve">colaboradores que implementan controles </w:t>
      </w:r>
      <w:r w:rsidR="00853906" w:rsidRPr="00EF1AC6">
        <w:t>como parte</w:t>
      </w:r>
      <w:r w:rsidR="005B19A0" w:rsidRPr="00EF1AC6">
        <w:t xml:space="preserve"> de su función como segunda línea de defensa.</w:t>
      </w:r>
    </w:p>
    <w:p w14:paraId="566FAA9A" w14:textId="5892E8DF" w:rsidR="00F8076E" w:rsidRPr="00EF1AC6" w:rsidRDefault="00853906" w:rsidP="007A7F0E">
      <w:pPr>
        <w:pStyle w:val="Prrafodelista"/>
        <w:numPr>
          <w:ilvl w:val="0"/>
          <w:numId w:val="10"/>
        </w:numPr>
        <w:jc w:val="both"/>
      </w:pPr>
      <w:r w:rsidRPr="00EF1AC6">
        <w:t xml:space="preserve">Fortalecer el </w:t>
      </w:r>
      <w:r w:rsidR="000E6C96" w:rsidRPr="00EF1AC6">
        <w:t xml:space="preserve">seguimiento </w:t>
      </w:r>
      <w:r w:rsidRPr="00EF1AC6">
        <w:t>de</w:t>
      </w:r>
      <w:r w:rsidR="000E6C96" w:rsidRPr="00EF1AC6">
        <w:t xml:space="preserve"> </w:t>
      </w:r>
      <w:r w:rsidRPr="00EF1AC6">
        <w:t xml:space="preserve">la primera línea de defensa a los </w:t>
      </w:r>
      <w:r w:rsidR="000E6C96" w:rsidRPr="00EF1AC6">
        <w:t xml:space="preserve">controles </w:t>
      </w:r>
      <w:r w:rsidRPr="00EF1AC6">
        <w:t xml:space="preserve">de los riesgos </w:t>
      </w:r>
      <w:r w:rsidR="000E6C96" w:rsidRPr="00EF1AC6">
        <w:t xml:space="preserve">y a la </w:t>
      </w:r>
      <w:r w:rsidR="00F8076E" w:rsidRPr="00EF1AC6">
        <w:t xml:space="preserve">revisión de la </w:t>
      </w:r>
      <w:r w:rsidR="000E6C96" w:rsidRPr="00EF1AC6">
        <w:t>eficacia en su implementación</w:t>
      </w:r>
      <w:r w:rsidR="00F8076E" w:rsidRPr="00EF1AC6">
        <w:t xml:space="preserve"> asegurando que agregue valor </w:t>
      </w:r>
      <w:r w:rsidR="00D774D9" w:rsidRPr="00EF1AC6">
        <w:t xml:space="preserve">que permita detectar inconsistencias y la toma de acciones oportunas. </w:t>
      </w:r>
    </w:p>
    <w:p w14:paraId="741DFAF3" w14:textId="77777777" w:rsidR="00F8076E" w:rsidRDefault="00F8076E" w:rsidP="00F8076E">
      <w:pPr>
        <w:pStyle w:val="Prrafodelista"/>
        <w:jc w:val="both"/>
      </w:pPr>
    </w:p>
    <w:p w14:paraId="31CF112C" w14:textId="14F0C764" w:rsidR="0081729A" w:rsidRDefault="0081729A" w:rsidP="00F8076E">
      <w:pPr>
        <w:jc w:val="both"/>
      </w:pPr>
      <w:r>
        <w:t>OFICINA ASESORA DE PLANEACION</w:t>
      </w:r>
    </w:p>
    <w:p w14:paraId="6FD280B3" w14:textId="35486B51" w:rsidR="0081729A" w:rsidRPr="00CE0487" w:rsidRDefault="00F8076E" w:rsidP="0081729A">
      <w:pPr>
        <w:jc w:val="both"/>
      </w:pPr>
      <w:r w:rsidRPr="00EF1AC6">
        <w:t xml:space="preserve">JULIO </w:t>
      </w:r>
      <w:r w:rsidR="0081729A" w:rsidRPr="00EF1AC6">
        <w:t>2024</w:t>
      </w:r>
    </w:p>
    <w:p w14:paraId="22385C3E" w14:textId="77777777" w:rsidR="00381DFA" w:rsidRPr="00381DFA" w:rsidRDefault="00381DFA" w:rsidP="00381DFA">
      <w:pPr>
        <w:jc w:val="both"/>
        <w:rPr>
          <w:b/>
          <w:bCs/>
        </w:rPr>
      </w:pPr>
    </w:p>
    <w:sectPr w:rsidR="00381DFA" w:rsidRPr="0038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EC67" w14:textId="77777777" w:rsidR="00A360BB" w:rsidRDefault="00A360BB" w:rsidP="0081729A">
      <w:pPr>
        <w:spacing w:after="0" w:line="240" w:lineRule="auto"/>
      </w:pPr>
      <w:r>
        <w:separator/>
      </w:r>
    </w:p>
  </w:endnote>
  <w:endnote w:type="continuationSeparator" w:id="0">
    <w:p w14:paraId="00AE309C" w14:textId="77777777" w:rsidR="00A360BB" w:rsidRDefault="00A360BB" w:rsidP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D695" w14:textId="77777777" w:rsidR="00A360BB" w:rsidRDefault="00A360BB" w:rsidP="0081729A">
      <w:pPr>
        <w:spacing w:after="0" w:line="240" w:lineRule="auto"/>
      </w:pPr>
      <w:r>
        <w:separator/>
      </w:r>
    </w:p>
  </w:footnote>
  <w:footnote w:type="continuationSeparator" w:id="0">
    <w:p w14:paraId="3707B4D5" w14:textId="77777777" w:rsidR="00A360BB" w:rsidRDefault="00A360BB" w:rsidP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3B2B" w14:textId="422B86C5" w:rsidR="0081729A" w:rsidRDefault="0081729A">
    <w:pPr>
      <w:pStyle w:val="Encabezado"/>
    </w:pPr>
    <w:r>
      <w:t xml:space="preserve">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20543FA" wp14:editId="63C40649">
          <wp:extent cx="105473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497782"/>
    <w:multiLevelType w:val="hybridMultilevel"/>
    <w:tmpl w:val="79B47E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22D20"/>
    <w:multiLevelType w:val="hybridMultilevel"/>
    <w:tmpl w:val="4BC88C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DD907714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A27D1"/>
    <w:multiLevelType w:val="multilevel"/>
    <w:tmpl w:val="529A4390"/>
    <w:lvl w:ilvl="0">
      <w:start w:val="9"/>
      <w:numFmt w:val="decimal"/>
      <w:lvlText w:val="%1"/>
      <w:lvlJc w:val="left"/>
      <w:pPr>
        <w:ind w:left="479" w:hanging="4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79" w:hanging="432"/>
        <w:jc w:val="right"/>
      </w:pPr>
      <w:rPr>
        <w:rFonts w:hint="default"/>
        <w:spacing w:val="0"/>
        <w:w w:val="97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9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450DAF"/>
    <w:multiLevelType w:val="multilevel"/>
    <w:tmpl w:val="39863A42"/>
    <w:lvl w:ilvl="0">
      <w:start w:val="1"/>
      <w:numFmt w:val="decimal"/>
      <w:lvlText w:val="%1."/>
      <w:lvlJc w:val="left"/>
      <w:pPr>
        <w:ind w:left="618" w:hanging="361"/>
        <w:jc w:val="right"/>
      </w:pPr>
      <w:rPr>
        <w:rFonts w:hint="default"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7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1"/>
    <w:rsid w:val="00000458"/>
    <w:rsid w:val="00005E8A"/>
    <w:rsid w:val="00023ACB"/>
    <w:rsid w:val="00040646"/>
    <w:rsid w:val="0008171F"/>
    <w:rsid w:val="000855C9"/>
    <w:rsid w:val="000C2C9B"/>
    <w:rsid w:val="000C5E91"/>
    <w:rsid w:val="000C7B8A"/>
    <w:rsid w:val="000E6C96"/>
    <w:rsid w:val="000F2F80"/>
    <w:rsid w:val="00107CAD"/>
    <w:rsid w:val="00120947"/>
    <w:rsid w:val="0012550F"/>
    <w:rsid w:val="00130F54"/>
    <w:rsid w:val="00141E8B"/>
    <w:rsid w:val="001441FD"/>
    <w:rsid w:val="0014590E"/>
    <w:rsid w:val="00160F7D"/>
    <w:rsid w:val="00191E48"/>
    <w:rsid w:val="00194CEC"/>
    <w:rsid w:val="001B1306"/>
    <w:rsid w:val="001B634F"/>
    <w:rsid w:val="001D1E24"/>
    <w:rsid w:val="001D7B51"/>
    <w:rsid w:val="001E46F5"/>
    <w:rsid w:val="001F27A3"/>
    <w:rsid w:val="001F7F65"/>
    <w:rsid w:val="00216456"/>
    <w:rsid w:val="002325E3"/>
    <w:rsid w:val="00232A60"/>
    <w:rsid w:val="0023555A"/>
    <w:rsid w:val="0025264D"/>
    <w:rsid w:val="00257F5E"/>
    <w:rsid w:val="002708D7"/>
    <w:rsid w:val="0029463E"/>
    <w:rsid w:val="00294FEA"/>
    <w:rsid w:val="002C4452"/>
    <w:rsid w:val="002D71EF"/>
    <w:rsid w:val="002F59DF"/>
    <w:rsid w:val="002F7B6E"/>
    <w:rsid w:val="003235F9"/>
    <w:rsid w:val="003255D5"/>
    <w:rsid w:val="00327990"/>
    <w:rsid w:val="00331E40"/>
    <w:rsid w:val="00345082"/>
    <w:rsid w:val="00381DFA"/>
    <w:rsid w:val="00395149"/>
    <w:rsid w:val="003A2635"/>
    <w:rsid w:val="003C3176"/>
    <w:rsid w:val="003C4035"/>
    <w:rsid w:val="003C6200"/>
    <w:rsid w:val="003E7B05"/>
    <w:rsid w:val="003F1CDE"/>
    <w:rsid w:val="003F48FC"/>
    <w:rsid w:val="003F5077"/>
    <w:rsid w:val="003F7831"/>
    <w:rsid w:val="00405C5C"/>
    <w:rsid w:val="004067A8"/>
    <w:rsid w:val="00411068"/>
    <w:rsid w:val="00432612"/>
    <w:rsid w:val="00440B7A"/>
    <w:rsid w:val="004477AF"/>
    <w:rsid w:val="00456E58"/>
    <w:rsid w:val="00457DBA"/>
    <w:rsid w:val="0047103F"/>
    <w:rsid w:val="004723F2"/>
    <w:rsid w:val="00473231"/>
    <w:rsid w:val="004814A2"/>
    <w:rsid w:val="0049336A"/>
    <w:rsid w:val="00495C3D"/>
    <w:rsid w:val="004A0D4F"/>
    <w:rsid w:val="004D05CF"/>
    <w:rsid w:val="004D31DE"/>
    <w:rsid w:val="004F0AF0"/>
    <w:rsid w:val="0050212C"/>
    <w:rsid w:val="005054D5"/>
    <w:rsid w:val="00507D28"/>
    <w:rsid w:val="00523634"/>
    <w:rsid w:val="0052606F"/>
    <w:rsid w:val="005466CD"/>
    <w:rsid w:val="005546F2"/>
    <w:rsid w:val="005548F4"/>
    <w:rsid w:val="005641D6"/>
    <w:rsid w:val="00566FF0"/>
    <w:rsid w:val="00570C0B"/>
    <w:rsid w:val="0057218C"/>
    <w:rsid w:val="005842B4"/>
    <w:rsid w:val="00591852"/>
    <w:rsid w:val="00594A61"/>
    <w:rsid w:val="005A4EF4"/>
    <w:rsid w:val="005B19A0"/>
    <w:rsid w:val="005B4105"/>
    <w:rsid w:val="005C1DF5"/>
    <w:rsid w:val="005D7202"/>
    <w:rsid w:val="00604DF9"/>
    <w:rsid w:val="00606C4F"/>
    <w:rsid w:val="006123CE"/>
    <w:rsid w:val="00647027"/>
    <w:rsid w:val="00660960"/>
    <w:rsid w:val="006637AC"/>
    <w:rsid w:val="00686199"/>
    <w:rsid w:val="00690ADF"/>
    <w:rsid w:val="006A536A"/>
    <w:rsid w:val="006A6349"/>
    <w:rsid w:val="006A64B8"/>
    <w:rsid w:val="006C5951"/>
    <w:rsid w:val="006D0C9A"/>
    <w:rsid w:val="006D660F"/>
    <w:rsid w:val="006E6309"/>
    <w:rsid w:val="00715426"/>
    <w:rsid w:val="007175FB"/>
    <w:rsid w:val="00722233"/>
    <w:rsid w:val="00746669"/>
    <w:rsid w:val="00761144"/>
    <w:rsid w:val="00762B4A"/>
    <w:rsid w:val="00785531"/>
    <w:rsid w:val="007A7995"/>
    <w:rsid w:val="007A7F0E"/>
    <w:rsid w:val="007B02E0"/>
    <w:rsid w:val="007C1EA2"/>
    <w:rsid w:val="007C31AF"/>
    <w:rsid w:val="007D30E7"/>
    <w:rsid w:val="007E4C08"/>
    <w:rsid w:val="00811215"/>
    <w:rsid w:val="00812DB5"/>
    <w:rsid w:val="0081729A"/>
    <w:rsid w:val="00853906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903A5F"/>
    <w:rsid w:val="00906F11"/>
    <w:rsid w:val="0092077F"/>
    <w:rsid w:val="0094159F"/>
    <w:rsid w:val="009424A7"/>
    <w:rsid w:val="00950F81"/>
    <w:rsid w:val="00954326"/>
    <w:rsid w:val="00957CDA"/>
    <w:rsid w:val="00974ECC"/>
    <w:rsid w:val="009834E2"/>
    <w:rsid w:val="009A1E7E"/>
    <w:rsid w:val="009A35B1"/>
    <w:rsid w:val="009A4D90"/>
    <w:rsid w:val="009A7744"/>
    <w:rsid w:val="009B4DB8"/>
    <w:rsid w:val="009B5858"/>
    <w:rsid w:val="009B5A1D"/>
    <w:rsid w:val="009B6BEF"/>
    <w:rsid w:val="009E4EE5"/>
    <w:rsid w:val="00A23849"/>
    <w:rsid w:val="00A24D25"/>
    <w:rsid w:val="00A31372"/>
    <w:rsid w:val="00A33AD4"/>
    <w:rsid w:val="00A360BB"/>
    <w:rsid w:val="00A36F52"/>
    <w:rsid w:val="00A42348"/>
    <w:rsid w:val="00A64546"/>
    <w:rsid w:val="00A64787"/>
    <w:rsid w:val="00A66291"/>
    <w:rsid w:val="00A7187C"/>
    <w:rsid w:val="00A72218"/>
    <w:rsid w:val="00AC078C"/>
    <w:rsid w:val="00AE0CDF"/>
    <w:rsid w:val="00AF0202"/>
    <w:rsid w:val="00AF7496"/>
    <w:rsid w:val="00B03019"/>
    <w:rsid w:val="00B11BA2"/>
    <w:rsid w:val="00B30C1A"/>
    <w:rsid w:val="00B5529B"/>
    <w:rsid w:val="00B63BCF"/>
    <w:rsid w:val="00B80F9B"/>
    <w:rsid w:val="00B86788"/>
    <w:rsid w:val="00B91C46"/>
    <w:rsid w:val="00B9331A"/>
    <w:rsid w:val="00B9480F"/>
    <w:rsid w:val="00BA6BEC"/>
    <w:rsid w:val="00BC0D49"/>
    <w:rsid w:val="00BD4A0E"/>
    <w:rsid w:val="00BD5453"/>
    <w:rsid w:val="00BF33B4"/>
    <w:rsid w:val="00C10A52"/>
    <w:rsid w:val="00C337A8"/>
    <w:rsid w:val="00C56870"/>
    <w:rsid w:val="00C6427E"/>
    <w:rsid w:val="00C77BD6"/>
    <w:rsid w:val="00CA0822"/>
    <w:rsid w:val="00CB1B5C"/>
    <w:rsid w:val="00CB54FC"/>
    <w:rsid w:val="00CB7E40"/>
    <w:rsid w:val="00CC0992"/>
    <w:rsid w:val="00CC3985"/>
    <w:rsid w:val="00CD2529"/>
    <w:rsid w:val="00CE4E31"/>
    <w:rsid w:val="00CF61F1"/>
    <w:rsid w:val="00CF7294"/>
    <w:rsid w:val="00D00C21"/>
    <w:rsid w:val="00D054AC"/>
    <w:rsid w:val="00D15275"/>
    <w:rsid w:val="00D45AF3"/>
    <w:rsid w:val="00D5002B"/>
    <w:rsid w:val="00D64DA2"/>
    <w:rsid w:val="00D672ED"/>
    <w:rsid w:val="00D7634E"/>
    <w:rsid w:val="00D774D9"/>
    <w:rsid w:val="00DA1EF1"/>
    <w:rsid w:val="00DC41FC"/>
    <w:rsid w:val="00DD4ED0"/>
    <w:rsid w:val="00DD54AE"/>
    <w:rsid w:val="00DE4798"/>
    <w:rsid w:val="00DE4C5B"/>
    <w:rsid w:val="00DF19A2"/>
    <w:rsid w:val="00E12A1E"/>
    <w:rsid w:val="00E21DB4"/>
    <w:rsid w:val="00E2325F"/>
    <w:rsid w:val="00E33507"/>
    <w:rsid w:val="00E43472"/>
    <w:rsid w:val="00E43A6B"/>
    <w:rsid w:val="00E46EDD"/>
    <w:rsid w:val="00E52CAC"/>
    <w:rsid w:val="00E53093"/>
    <w:rsid w:val="00E60D76"/>
    <w:rsid w:val="00E639EA"/>
    <w:rsid w:val="00E666B9"/>
    <w:rsid w:val="00E66C6A"/>
    <w:rsid w:val="00E70519"/>
    <w:rsid w:val="00E7406B"/>
    <w:rsid w:val="00E8190A"/>
    <w:rsid w:val="00E93B08"/>
    <w:rsid w:val="00EA447B"/>
    <w:rsid w:val="00EB19D2"/>
    <w:rsid w:val="00EB4435"/>
    <w:rsid w:val="00EC0983"/>
    <w:rsid w:val="00EF1AC6"/>
    <w:rsid w:val="00EF2203"/>
    <w:rsid w:val="00F0175B"/>
    <w:rsid w:val="00F160C1"/>
    <w:rsid w:val="00F22864"/>
    <w:rsid w:val="00F36B14"/>
    <w:rsid w:val="00F45D5E"/>
    <w:rsid w:val="00F57294"/>
    <w:rsid w:val="00F74626"/>
    <w:rsid w:val="00F76799"/>
    <w:rsid w:val="00F8076E"/>
    <w:rsid w:val="00FB722C"/>
    <w:rsid w:val="00FD5EF9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29A"/>
  </w:style>
  <w:style w:type="paragraph" w:styleId="Piedepgina">
    <w:name w:val="footer"/>
    <w:basedOn w:val="Normal"/>
    <w:link w:val="Piedepgina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29A"/>
  </w:style>
  <w:style w:type="character" w:styleId="Hipervnculo">
    <w:name w:val="Hyperlink"/>
    <w:basedOn w:val="Fuentedeprrafopredeter"/>
    <w:uiPriority w:val="99"/>
    <w:unhideWhenUsed/>
    <w:rsid w:val="0081729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94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63E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7A7F0E"/>
    <w:pPr>
      <w:widowControl w:val="0"/>
      <w:autoSpaceDE w:val="0"/>
      <w:autoSpaceDN w:val="0"/>
      <w:spacing w:after="0" w:line="240" w:lineRule="auto"/>
      <w:ind w:left="932" w:right="1250"/>
      <w:jc w:val="center"/>
    </w:pPr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7A7F0E"/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rograma-de-transparencia-y-etica-pu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Caicedo</dc:creator>
  <cp:keywords/>
  <dc:description/>
  <cp:lastModifiedBy>Faiber Gabino Correa Amezquita</cp:lastModifiedBy>
  <cp:revision>2</cp:revision>
  <dcterms:created xsi:type="dcterms:W3CDTF">2024-08-01T17:25:00Z</dcterms:created>
  <dcterms:modified xsi:type="dcterms:W3CDTF">2024-08-01T17:25:00Z</dcterms:modified>
</cp:coreProperties>
</file>